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434ED" w14:textId="544AC990" w:rsidR="00A56D4B" w:rsidRPr="00D56247" w:rsidRDefault="00A56D4B" w:rsidP="00A56D4B">
      <w:pPr>
        <w:tabs>
          <w:tab w:val="center" w:pos="4536"/>
          <w:tab w:val="right" w:pos="7938"/>
          <w:tab w:val="right" w:pos="9639"/>
        </w:tabs>
        <w:ind w:right="2"/>
        <w:rPr>
          <w:rFonts w:cs="Arial"/>
          <w:b/>
          <w:bCs/>
          <w:sz w:val="24"/>
          <w:szCs w:val="18"/>
        </w:rPr>
      </w:pPr>
      <w:r w:rsidRPr="00D56247">
        <w:rPr>
          <w:rFonts w:cs="Arial"/>
          <w:b/>
          <w:bCs/>
          <w:sz w:val="24"/>
          <w:szCs w:val="18"/>
        </w:rPr>
        <w:t>3GPP TSG RAN WG1 #106-e</w:t>
      </w:r>
      <w:r w:rsidRPr="00D56247">
        <w:rPr>
          <w:rFonts w:cs="Arial"/>
          <w:b/>
          <w:bCs/>
          <w:sz w:val="24"/>
          <w:szCs w:val="18"/>
        </w:rPr>
        <w:tab/>
      </w:r>
      <w:proofErr w:type="gramStart"/>
      <w:r w:rsidRPr="00D56247">
        <w:rPr>
          <w:rFonts w:cs="Arial"/>
          <w:b/>
          <w:bCs/>
          <w:sz w:val="24"/>
          <w:szCs w:val="18"/>
        </w:rPr>
        <w:tab/>
        <w:t xml:space="preserve">  </w:t>
      </w:r>
      <w:r w:rsidRPr="00D56247">
        <w:rPr>
          <w:rFonts w:cs="Arial"/>
          <w:b/>
          <w:bCs/>
          <w:sz w:val="24"/>
          <w:szCs w:val="18"/>
        </w:rPr>
        <w:tab/>
      </w:r>
      <w:proofErr w:type="gramEnd"/>
      <w:r w:rsidRPr="00D56247">
        <w:rPr>
          <w:rFonts w:cs="Arial"/>
          <w:b/>
          <w:bCs/>
          <w:sz w:val="24"/>
          <w:szCs w:val="18"/>
        </w:rPr>
        <w:t>R1-</w:t>
      </w:r>
      <w:r w:rsidR="00880025" w:rsidRPr="00D56247">
        <w:rPr>
          <w:rFonts w:cs="Arial"/>
          <w:b/>
          <w:bCs/>
          <w:sz w:val="24"/>
          <w:szCs w:val="18"/>
        </w:rPr>
        <w:t>210</w:t>
      </w:r>
      <w:r w:rsidR="00880025">
        <w:rPr>
          <w:rFonts w:cs="Arial"/>
          <w:b/>
          <w:bCs/>
          <w:sz w:val="24"/>
          <w:szCs w:val="18"/>
        </w:rPr>
        <w:t>8034</w:t>
      </w:r>
    </w:p>
    <w:p w14:paraId="7ECF5138" w14:textId="77777777" w:rsidR="00A56D4B" w:rsidRPr="00D56247" w:rsidRDefault="00A56D4B" w:rsidP="00A56D4B">
      <w:pPr>
        <w:tabs>
          <w:tab w:val="center" w:pos="4536"/>
          <w:tab w:val="right" w:pos="9072"/>
        </w:tabs>
        <w:rPr>
          <w:rFonts w:eastAsia="MS Mincho" w:cs="Arial"/>
          <w:b/>
          <w:bCs/>
          <w:sz w:val="24"/>
          <w:szCs w:val="18"/>
          <w:lang w:eastAsia="ja-JP"/>
        </w:rPr>
      </w:pPr>
      <w:r w:rsidRPr="00D56247">
        <w:rPr>
          <w:rFonts w:eastAsia="MS Mincho" w:cs="Arial"/>
          <w:b/>
          <w:bCs/>
          <w:sz w:val="24"/>
          <w:szCs w:val="18"/>
          <w:lang w:eastAsia="ja-JP"/>
        </w:rPr>
        <w:t>e-Meeting, August 16</w:t>
      </w:r>
      <w:r w:rsidRPr="00D56247">
        <w:rPr>
          <w:rFonts w:eastAsia="MS Mincho" w:cs="Arial"/>
          <w:b/>
          <w:bCs/>
          <w:sz w:val="24"/>
          <w:szCs w:val="18"/>
          <w:vertAlign w:val="superscript"/>
          <w:lang w:eastAsia="ja-JP"/>
        </w:rPr>
        <w:t>th</w:t>
      </w:r>
      <w:r w:rsidRPr="00D56247">
        <w:rPr>
          <w:rFonts w:eastAsia="MS Mincho" w:cs="Arial"/>
          <w:b/>
          <w:bCs/>
          <w:sz w:val="24"/>
          <w:szCs w:val="18"/>
          <w:lang w:eastAsia="ja-JP"/>
        </w:rPr>
        <w:t xml:space="preserve"> – 27</w:t>
      </w:r>
      <w:r w:rsidRPr="00D56247">
        <w:rPr>
          <w:rFonts w:eastAsia="MS Mincho" w:cs="Arial"/>
          <w:b/>
          <w:bCs/>
          <w:sz w:val="24"/>
          <w:szCs w:val="18"/>
          <w:vertAlign w:val="superscript"/>
          <w:lang w:eastAsia="ja-JP"/>
        </w:rPr>
        <w:t>th</w:t>
      </w:r>
      <w:r w:rsidRPr="00D56247">
        <w:rPr>
          <w:rFonts w:eastAsia="MS Mincho" w:cs="Arial"/>
          <w:b/>
          <w:bCs/>
          <w:sz w:val="24"/>
          <w:szCs w:val="18"/>
          <w:lang w:eastAsia="ja-JP"/>
        </w:rPr>
        <w:t>, 2021</w:t>
      </w:r>
    </w:p>
    <w:p w14:paraId="4AA55D4D" w14:textId="77777777" w:rsidR="00E30291" w:rsidRPr="00B414B8" w:rsidRDefault="00E30291" w:rsidP="00214E6A">
      <w:pPr>
        <w:pStyle w:val="3GPPHeader"/>
        <w:rPr>
          <w:sz w:val="22"/>
          <w:szCs w:val="22"/>
        </w:rPr>
      </w:pPr>
    </w:p>
    <w:p w14:paraId="7AD14354" w14:textId="2E8BF79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D91E82">
        <w:rPr>
          <w:sz w:val="22"/>
          <w:szCs w:val="22"/>
          <w:lang w:val="sv-SE"/>
        </w:rPr>
        <w:t>8.4.4</w:t>
      </w:r>
    </w:p>
    <w:p w14:paraId="4910E89F" w14:textId="77777777" w:rsidR="00214E6A" w:rsidRPr="00721025" w:rsidRDefault="00214E6A" w:rsidP="00214E6A">
      <w:pPr>
        <w:pStyle w:val="3GPPHeader"/>
        <w:rPr>
          <w:sz w:val="22"/>
          <w:szCs w:val="22"/>
          <w:lang w:val="en-US"/>
        </w:rPr>
      </w:pPr>
      <w:r w:rsidRPr="00721025">
        <w:rPr>
          <w:sz w:val="22"/>
          <w:szCs w:val="22"/>
          <w:lang w:val="en-US"/>
        </w:rPr>
        <w:t>Source:</w:t>
      </w:r>
      <w:r w:rsidRPr="00721025">
        <w:rPr>
          <w:sz w:val="22"/>
          <w:szCs w:val="22"/>
          <w:lang w:val="en-US"/>
        </w:rPr>
        <w:tab/>
        <w:t>InterDigital</w:t>
      </w:r>
    </w:p>
    <w:p w14:paraId="28B90663" w14:textId="3F561DB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721025">
        <w:rPr>
          <w:sz w:val="22"/>
          <w:szCs w:val="22"/>
        </w:rPr>
        <w:t>On</w:t>
      </w:r>
      <w:r w:rsidR="00E30291">
        <w:rPr>
          <w:sz w:val="22"/>
          <w:szCs w:val="22"/>
        </w:rPr>
        <w:t xml:space="preserve"> beam management for NTN</w:t>
      </w:r>
    </w:p>
    <w:p w14:paraId="5D36C9A6" w14:textId="3106B6CB"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D91E82">
        <w:rPr>
          <w:sz w:val="22"/>
          <w:szCs w:val="22"/>
        </w:rPr>
        <w:t xml:space="preserve"> and</w:t>
      </w:r>
      <w:r w:rsidR="00D91E82" w:rsidRPr="004A1A95">
        <w:rPr>
          <w:sz w:val="22"/>
          <w:szCs w:val="22"/>
        </w:rPr>
        <w:t xml:space="preserve"> </w:t>
      </w:r>
      <w:r w:rsidRPr="004A1A95">
        <w:rPr>
          <w:sz w:val="22"/>
          <w:szCs w:val="22"/>
        </w:rPr>
        <w:t>Decision</w:t>
      </w:r>
    </w:p>
    <w:p w14:paraId="19E2BC4D" w14:textId="77777777" w:rsidR="00214E6A" w:rsidRDefault="00214E6A" w:rsidP="00214E6A">
      <w:pPr>
        <w:pStyle w:val="Heading1"/>
      </w:pPr>
      <w:r w:rsidRPr="004A1A95">
        <w:t>Introduction</w:t>
      </w:r>
    </w:p>
    <w:p w14:paraId="2B14710A" w14:textId="413ADA42" w:rsidR="008F5A4A" w:rsidRDefault="008F5A4A" w:rsidP="00001445">
      <w:pPr>
        <w:spacing w:line="276" w:lineRule="auto"/>
        <w:rPr>
          <w:rFonts w:cs="Arial"/>
          <w:sz w:val="22"/>
          <w:szCs w:val="22"/>
        </w:rPr>
      </w:pPr>
      <w:bookmarkStart w:id="0" w:name="_Hlk528874692"/>
      <w:r>
        <w:rPr>
          <w:rFonts w:cs="Arial"/>
          <w:sz w:val="22"/>
          <w:szCs w:val="22"/>
        </w:rPr>
        <w:t xml:space="preserve">In RAN1 </w:t>
      </w:r>
      <w:r w:rsidR="0025073D">
        <w:rPr>
          <w:rFonts w:cs="Arial"/>
          <w:sz w:val="22"/>
          <w:szCs w:val="22"/>
        </w:rPr>
        <w:t>#102e-#10</w:t>
      </w:r>
      <w:r w:rsidR="005722BA">
        <w:rPr>
          <w:rFonts w:cs="Arial"/>
          <w:sz w:val="22"/>
          <w:szCs w:val="22"/>
        </w:rPr>
        <w:t>5</w:t>
      </w:r>
      <w:r w:rsidR="0025073D">
        <w:rPr>
          <w:rFonts w:cs="Arial"/>
          <w:sz w:val="22"/>
          <w:szCs w:val="22"/>
        </w:rPr>
        <w:t>e</w:t>
      </w:r>
      <w:r>
        <w:rPr>
          <w:rFonts w:cs="Arial"/>
          <w:sz w:val="22"/>
          <w:szCs w:val="22"/>
        </w:rPr>
        <w:t>, the following agreement</w:t>
      </w:r>
      <w:r w:rsidR="0025073D">
        <w:rPr>
          <w:rFonts w:cs="Arial"/>
          <w:sz w:val="22"/>
          <w:szCs w:val="22"/>
        </w:rPr>
        <w:t>s</w:t>
      </w:r>
      <w:r>
        <w:rPr>
          <w:rFonts w:cs="Arial"/>
          <w:sz w:val="22"/>
          <w:szCs w:val="22"/>
        </w:rPr>
        <w:t xml:space="preserve"> ha</w:t>
      </w:r>
      <w:r w:rsidR="0025073D">
        <w:rPr>
          <w:rFonts w:cs="Arial"/>
          <w:sz w:val="22"/>
          <w:szCs w:val="22"/>
        </w:rPr>
        <w:t>ve</w:t>
      </w:r>
      <w:r>
        <w:rPr>
          <w:rFonts w:cs="Arial"/>
          <w:sz w:val="22"/>
          <w:szCs w:val="22"/>
        </w:rPr>
        <w:t xml:space="preserve"> been made as a progress for beam management and polarization with frequency reuse:</w:t>
      </w:r>
    </w:p>
    <w:p w14:paraId="3E4053F0" w14:textId="44E0F5A1" w:rsidR="0025073D" w:rsidRDefault="0025073D" w:rsidP="00E74749">
      <w:pPr>
        <w:spacing w:after="0"/>
        <w:rPr>
          <w:rFonts w:cs="Arial"/>
          <w:sz w:val="22"/>
          <w:szCs w:val="22"/>
        </w:rPr>
      </w:pPr>
    </w:p>
    <w:p w14:paraId="20D949C8" w14:textId="0C0DFE76" w:rsidR="0025073D" w:rsidRDefault="0025073D" w:rsidP="00E74749">
      <w:pPr>
        <w:spacing w:after="0"/>
        <w:rPr>
          <w:i/>
          <w:iCs/>
          <w:highlight w:val="green"/>
          <w:lang w:eastAsia="x-none"/>
        </w:rPr>
      </w:pPr>
      <w:r w:rsidRPr="00E74749">
        <w:rPr>
          <w:rFonts w:cs="Arial"/>
          <w:b/>
          <w:bCs/>
          <w:sz w:val="22"/>
          <w:szCs w:val="22"/>
          <w:u w:val="single"/>
        </w:rPr>
        <w:t>RAN1 #102e</w:t>
      </w:r>
    </w:p>
    <w:p w14:paraId="47E03CC3" w14:textId="3118D612" w:rsidR="008F5A4A" w:rsidRPr="007C4E5D" w:rsidRDefault="008F5A4A" w:rsidP="00E74749">
      <w:pPr>
        <w:spacing w:after="0"/>
        <w:rPr>
          <w:i/>
          <w:iCs/>
          <w:lang w:eastAsia="x-none"/>
        </w:rPr>
      </w:pPr>
      <w:r w:rsidRPr="007C4E5D">
        <w:rPr>
          <w:i/>
          <w:iCs/>
          <w:highlight w:val="green"/>
          <w:lang w:eastAsia="x-none"/>
        </w:rPr>
        <w:t>Agreement:</w:t>
      </w:r>
    </w:p>
    <w:p w14:paraId="0087EDAB" w14:textId="77777777" w:rsidR="008F5A4A" w:rsidRPr="007C4E5D" w:rsidRDefault="008F5A4A" w:rsidP="00E74749">
      <w:pPr>
        <w:spacing w:after="0"/>
        <w:rPr>
          <w:i/>
          <w:iCs/>
          <w:lang w:eastAsia="x-none"/>
        </w:rPr>
      </w:pPr>
      <w:r w:rsidRPr="007C4E5D">
        <w:rPr>
          <w:i/>
          <w:iCs/>
          <w:lang w:eastAsia="x-none"/>
        </w:rPr>
        <w:t>One-beam per cell and multiple-beam per cell are supported in existing NR specifications and are baseline for NR NTN.</w:t>
      </w:r>
    </w:p>
    <w:p w14:paraId="79B57104" w14:textId="77777777" w:rsidR="008F5A4A" w:rsidRPr="007C4E5D" w:rsidRDefault="008F5A4A" w:rsidP="00534B3E">
      <w:pPr>
        <w:numPr>
          <w:ilvl w:val="0"/>
          <w:numId w:val="16"/>
        </w:numPr>
        <w:overflowPunct/>
        <w:autoSpaceDE/>
        <w:autoSpaceDN/>
        <w:adjustRightInd/>
        <w:spacing w:after="0"/>
        <w:jc w:val="left"/>
        <w:textAlignment w:val="auto"/>
        <w:rPr>
          <w:i/>
          <w:iCs/>
          <w:lang w:eastAsia="x-none"/>
        </w:rPr>
      </w:pPr>
      <w:r w:rsidRPr="007C4E5D">
        <w:rPr>
          <w:i/>
          <w:iCs/>
          <w:lang w:eastAsia="x-none"/>
        </w:rPr>
        <w:t xml:space="preserve">FFS: The need for potential enhancement for beam management </w:t>
      </w:r>
    </w:p>
    <w:p w14:paraId="40BD93A0" w14:textId="77777777" w:rsidR="008F5A4A" w:rsidRPr="007C4E5D" w:rsidRDefault="008F5A4A" w:rsidP="00E74749">
      <w:pPr>
        <w:numPr>
          <w:ilvl w:val="0"/>
          <w:numId w:val="16"/>
        </w:numPr>
        <w:overflowPunct/>
        <w:autoSpaceDE/>
        <w:autoSpaceDN/>
        <w:adjustRightInd/>
        <w:spacing w:after="0"/>
        <w:jc w:val="left"/>
        <w:textAlignment w:val="auto"/>
        <w:rPr>
          <w:i/>
          <w:iCs/>
          <w:lang w:eastAsia="x-none"/>
        </w:rPr>
      </w:pPr>
      <w:r w:rsidRPr="007C4E5D">
        <w:rPr>
          <w:i/>
          <w:iCs/>
          <w:lang w:eastAsia="x-none"/>
        </w:rPr>
        <w:t>FFS: The need for potential enhancement on association of SSBs, beams and BWPs</w:t>
      </w:r>
    </w:p>
    <w:p w14:paraId="43D5392A" w14:textId="77777777" w:rsidR="008F5A4A" w:rsidRPr="007C4E5D" w:rsidRDefault="008F5A4A" w:rsidP="00E74749">
      <w:pPr>
        <w:spacing w:after="0"/>
        <w:rPr>
          <w:i/>
          <w:iCs/>
          <w:lang w:eastAsia="x-none"/>
        </w:rPr>
      </w:pPr>
    </w:p>
    <w:p w14:paraId="65FEEA81" w14:textId="77777777" w:rsidR="008F5A4A" w:rsidRPr="007C4E5D" w:rsidRDefault="008F5A4A" w:rsidP="00E74749">
      <w:pPr>
        <w:spacing w:after="0"/>
        <w:rPr>
          <w:i/>
          <w:iCs/>
          <w:lang w:eastAsia="x-none"/>
        </w:rPr>
      </w:pPr>
      <w:r w:rsidRPr="007C4E5D">
        <w:rPr>
          <w:i/>
          <w:iCs/>
          <w:highlight w:val="green"/>
          <w:lang w:eastAsia="x-none"/>
        </w:rPr>
        <w:t>Agreement:</w:t>
      </w:r>
    </w:p>
    <w:p w14:paraId="7F77466E" w14:textId="77777777" w:rsidR="008F5A4A" w:rsidRPr="007C4E5D" w:rsidRDefault="008F5A4A" w:rsidP="00E74749">
      <w:pPr>
        <w:spacing w:after="0"/>
        <w:rPr>
          <w:bCs/>
          <w:i/>
          <w:iCs/>
          <w:lang w:eastAsia="x-none"/>
        </w:rPr>
      </w:pPr>
      <w:r w:rsidRPr="007C4E5D">
        <w:rPr>
          <w:bCs/>
          <w:i/>
          <w:iCs/>
          <w:lang w:eastAsia="x-none"/>
        </w:rPr>
        <w:t>Potential enhancements for support of polarisation signalling in NR NTN can consider at least the following:</w:t>
      </w:r>
    </w:p>
    <w:p w14:paraId="1DD5D58F" w14:textId="77777777" w:rsidR="008F5A4A" w:rsidRPr="007C4E5D" w:rsidRDefault="008F5A4A" w:rsidP="00534B3E">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Configuration of DL and UL transmit polarization including Right hand and Left hand circular polarizations (RHCP, LHCP) </w:t>
      </w:r>
    </w:p>
    <w:p w14:paraId="2F6EA27F" w14:textId="77777777" w:rsidR="008F5A4A" w:rsidRPr="007C4E5D" w:rsidRDefault="008F5A4A" w:rsidP="00E74749">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Network broadcast DL and UL transmit polarization configuration  </w:t>
      </w:r>
    </w:p>
    <w:p w14:paraId="425CA9EB" w14:textId="77777777" w:rsidR="008F5A4A" w:rsidRPr="007C4E5D" w:rsidRDefault="008F5A4A" w:rsidP="00E74749">
      <w:pPr>
        <w:numPr>
          <w:ilvl w:val="0"/>
          <w:numId w:val="17"/>
        </w:numPr>
        <w:overflowPunct/>
        <w:autoSpaceDE/>
        <w:autoSpaceDN/>
        <w:adjustRightInd/>
        <w:spacing w:after="0"/>
        <w:jc w:val="left"/>
        <w:textAlignment w:val="auto"/>
        <w:rPr>
          <w:bCs/>
          <w:i/>
          <w:iCs/>
          <w:lang w:eastAsia="x-none"/>
        </w:rPr>
      </w:pPr>
      <w:r w:rsidRPr="007C4E5D">
        <w:rPr>
          <w:bCs/>
          <w:i/>
          <w:iCs/>
          <w:lang w:eastAsia="x-none"/>
        </w:rPr>
        <w:t>UE polarization capability (RHCP, LHCP, Linear)</w:t>
      </w:r>
    </w:p>
    <w:p w14:paraId="77EF76A8" w14:textId="77777777" w:rsidR="008F5A4A" w:rsidRPr="007C4E5D" w:rsidRDefault="008F5A4A" w:rsidP="00E74749">
      <w:pPr>
        <w:numPr>
          <w:ilvl w:val="0"/>
          <w:numId w:val="17"/>
        </w:numPr>
        <w:overflowPunct/>
        <w:autoSpaceDE/>
        <w:autoSpaceDN/>
        <w:adjustRightInd/>
        <w:spacing w:after="0"/>
        <w:jc w:val="left"/>
        <w:textAlignment w:val="auto"/>
        <w:rPr>
          <w:bCs/>
          <w:i/>
          <w:iCs/>
          <w:lang w:eastAsia="x-none"/>
        </w:rPr>
      </w:pPr>
      <w:r w:rsidRPr="007C4E5D">
        <w:rPr>
          <w:bCs/>
          <w:i/>
          <w:iCs/>
          <w:lang w:eastAsia="x-none"/>
        </w:rPr>
        <w:t>Dependence of polarisation signaling on deployment scenarios. For example,</w:t>
      </w:r>
    </w:p>
    <w:p w14:paraId="38A80684" w14:textId="77777777" w:rsidR="008F5A4A" w:rsidRPr="007C4E5D" w:rsidRDefault="008F5A4A" w:rsidP="00E74749">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Resource reuse mode with/without polarization for the beam management enhancement </w:t>
      </w:r>
    </w:p>
    <w:p w14:paraId="210EB69E" w14:textId="77777777" w:rsidR="008F5A4A" w:rsidRPr="007C4E5D" w:rsidRDefault="008F5A4A" w:rsidP="00E74749">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Fixed polarization per cell/beam for polarization reuse and circular polarisation with intra-UE and inter-UE multiplexing (intra-UE and inter-UE) signalling </w:t>
      </w:r>
    </w:p>
    <w:p w14:paraId="178B49C3" w14:textId="4EFC6AF2" w:rsidR="008F5A4A" w:rsidRDefault="008F5A4A" w:rsidP="00E74749">
      <w:pPr>
        <w:spacing w:after="0"/>
        <w:rPr>
          <w:rFonts w:cs="Arial"/>
          <w:sz w:val="22"/>
          <w:szCs w:val="22"/>
        </w:rPr>
      </w:pPr>
    </w:p>
    <w:p w14:paraId="60809B32" w14:textId="1C5B9CEE" w:rsidR="0025073D" w:rsidRDefault="0025073D" w:rsidP="00E74749">
      <w:pPr>
        <w:spacing w:after="0"/>
        <w:rPr>
          <w:rFonts w:cs="Arial"/>
          <w:sz w:val="22"/>
          <w:szCs w:val="22"/>
        </w:rPr>
      </w:pPr>
      <w:r w:rsidRPr="008A175D">
        <w:rPr>
          <w:rFonts w:cs="Arial"/>
          <w:b/>
          <w:bCs/>
          <w:sz w:val="22"/>
          <w:szCs w:val="22"/>
          <w:u w:val="single"/>
        </w:rPr>
        <w:t>RAN1 #10</w:t>
      </w:r>
      <w:r>
        <w:rPr>
          <w:rFonts w:cs="Arial"/>
          <w:b/>
          <w:bCs/>
          <w:sz w:val="22"/>
          <w:szCs w:val="22"/>
          <w:u w:val="single"/>
        </w:rPr>
        <w:t>3</w:t>
      </w:r>
      <w:r w:rsidRPr="008A175D">
        <w:rPr>
          <w:rFonts w:cs="Arial"/>
          <w:b/>
          <w:bCs/>
          <w:sz w:val="22"/>
          <w:szCs w:val="22"/>
          <w:u w:val="single"/>
        </w:rPr>
        <w:t>e</w:t>
      </w:r>
    </w:p>
    <w:p w14:paraId="31F02AD7" w14:textId="77777777" w:rsidR="00B414B8" w:rsidRPr="00B414B8" w:rsidRDefault="00B414B8" w:rsidP="00E74749">
      <w:pPr>
        <w:spacing w:after="0"/>
        <w:rPr>
          <w:i/>
          <w:iCs/>
          <w:lang w:eastAsia="x-none"/>
        </w:rPr>
      </w:pPr>
      <w:r w:rsidRPr="00B414B8">
        <w:rPr>
          <w:i/>
          <w:iCs/>
          <w:highlight w:val="green"/>
          <w:lang w:eastAsia="x-none"/>
        </w:rPr>
        <w:t>Agreement:</w:t>
      </w:r>
    </w:p>
    <w:p w14:paraId="65A841E3" w14:textId="77777777" w:rsidR="00B414B8" w:rsidRPr="00B414B8" w:rsidRDefault="00B414B8" w:rsidP="00E74749">
      <w:pPr>
        <w:spacing w:after="0"/>
        <w:rPr>
          <w:i/>
          <w:iCs/>
          <w:lang w:eastAsia="x-none"/>
        </w:rPr>
      </w:pPr>
      <w:r w:rsidRPr="00B414B8">
        <w:rPr>
          <w:i/>
          <w:iCs/>
          <w:lang w:eastAsia="x-none"/>
        </w:rPr>
        <w:t xml:space="preserve">Indication of polarization information for DL and UL by the network is supported. </w:t>
      </w:r>
    </w:p>
    <w:p w14:paraId="02F47BC2" w14:textId="77777777" w:rsidR="00B414B8" w:rsidRPr="00B414B8" w:rsidRDefault="00B414B8" w:rsidP="00534B3E">
      <w:pPr>
        <w:numPr>
          <w:ilvl w:val="0"/>
          <w:numId w:val="18"/>
        </w:numPr>
        <w:overflowPunct/>
        <w:autoSpaceDE/>
        <w:autoSpaceDN/>
        <w:adjustRightInd/>
        <w:spacing w:after="0"/>
        <w:jc w:val="left"/>
        <w:textAlignment w:val="auto"/>
        <w:rPr>
          <w:i/>
          <w:iCs/>
          <w:lang w:eastAsia="x-none"/>
        </w:rPr>
      </w:pPr>
      <w:r w:rsidRPr="00B414B8">
        <w:rPr>
          <w:i/>
          <w:iCs/>
          <w:lang w:eastAsia="x-none"/>
        </w:rPr>
        <w:t>FFS: Signaling details</w:t>
      </w:r>
    </w:p>
    <w:p w14:paraId="33D949C7" w14:textId="7B638C82" w:rsidR="00B414B8" w:rsidRDefault="00B414B8" w:rsidP="00E74749">
      <w:pPr>
        <w:spacing w:after="0"/>
        <w:rPr>
          <w:rFonts w:cs="Arial"/>
          <w:sz w:val="22"/>
          <w:szCs w:val="22"/>
        </w:rPr>
      </w:pPr>
    </w:p>
    <w:p w14:paraId="35125542" w14:textId="68689EA6" w:rsidR="0025073D" w:rsidRDefault="0025073D" w:rsidP="00E74749">
      <w:pPr>
        <w:spacing w:after="0"/>
        <w:rPr>
          <w:rFonts w:cs="Arial"/>
          <w:sz w:val="22"/>
          <w:szCs w:val="22"/>
        </w:rPr>
      </w:pPr>
      <w:r w:rsidRPr="008A175D">
        <w:rPr>
          <w:rFonts w:cs="Arial"/>
          <w:b/>
          <w:bCs/>
          <w:sz w:val="22"/>
          <w:szCs w:val="22"/>
          <w:u w:val="single"/>
        </w:rPr>
        <w:t>RAN1 #10</w:t>
      </w:r>
      <w:r>
        <w:rPr>
          <w:rFonts w:cs="Arial"/>
          <w:b/>
          <w:bCs/>
          <w:sz w:val="22"/>
          <w:szCs w:val="22"/>
          <w:u w:val="single"/>
        </w:rPr>
        <w:t>4</w:t>
      </w:r>
      <w:r w:rsidRPr="008A175D">
        <w:rPr>
          <w:rFonts w:cs="Arial"/>
          <w:b/>
          <w:bCs/>
          <w:sz w:val="22"/>
          <w:szCs w:val="22"/>
          <w:u w:val="single"/>
        </w:rPr>
        <w:t>e</w:t>
      </w:r>
    </w:p>
    <w:p w14:paraId="5491CA8A" w14:textId="77777777" w:rsidR="0025073D" w:rsidRPr="00E74749" w:rsidRDefault="0025073D" w:rsidP="00E74749">
      <w:pPr>
        <w:spacing w:after="0"/>
        <w:rPr>
          <w:rFonts w:eastAsia="Malgun Gothic" w:cs="Arial"/>
          <w:bCs/>
          <w:i/>
          <w:iCs/>
          <w:color w:val="000000"/>
          <w:lang w:eastAsia="ko-KR"/>
        </w:rPr>
      </w:pPr>
      <w:r w:rsidRPr="00E74749">
        <w:rPr>
          <w:rFonts w:eastAsia="Malgun Gothic" w:cs="Arial"/>
          <w:bCs/>
          <w:i/>
          <w:iCs/>
          <w:color w:val="000000"/>
          <w:highlight w:val="green"/>
          <w:lang w:eastAsia="ko-KR"/>
        </w:rPr>
        <w:t>Agreement:</w:t>
      </w:r>
    </w:p>
    <w:p w14:paraId="7813F296" w14:textId="77777777" w:rsidR="0025073D" w:rsidRPr="00E74749" w:rsidRDefault="0025073D" w:rsidP="00E74749">
      <w:pPr>
        <w:spacing w:after="0"/>
        <w:rPr>
          <w:rFonts w:cs="Arial"/>
          <w:i/>
          <w:iCs/>
          <w:color w:val="000000"/>
        </w:rPr>
      </w:pPr>
      <w:r w:rsidRPr="00E74749">
        <w:rPr>
          <w:rFonts w:eastAsia="Malgun Gothic" w:cs="Arial"/>
          <w:bCs/>
          <w:i/>
          <w:iCs/>
          <w:color w:val="000000"/>
          <w:lang w:eastAsia="ko-KR"/>
        </w:rPr>
        <w:t xml:space="preserve">Support </w:t>
      </w:r>
      <w:r w:rsidRPr="00E74749">
        <w:rPr>
          <w:rFonts w:eastAsia="Malgun Gothic" w:cs="Arial"/>
          <w:i/>
          <w:iCs/>
          <w:color w:val="000000"/>
          <w:lang w:eastAsia="ko-KR"/>
        </w:rPr>
        <w:t>at least</w:t>
      </w:r>
      <w:r w:rsidRPr="00E74749">
        <w:rPr>
          <w:rFonts w:eastAsia="Malgun Gothic" w:cs="Arial"/>
          <w:bCs/>
          <w:i/>
          <w:iCs/>
          <w:color w:val="000000"/>
          <w:lang w:eastAsia="ko-KR"/>
        </w:rPr>
        <w:t xml:space="preserve"> explicit indication of polarization information for DL by the network</w:t>
      </w:r>
    </w:p>
    <w:p w14:paraId="304E5842" w14:textId="77777777" w:rsidR="0025073D" w:rsidRPr="00E74749" w:rsidRDefault="0025073D" w:rsidP="00534B3E">
      <w:pPr>
        <w:numPr>
          <w:ilvl w:val="0"/>
          <w:numId w:val="19"/>
        </w:numPr>
        <w:overflowPunct/>
        <w:autoSpaceDE/>
        <w:autoSpaceDN/>
        <w:adjustRightInd/>
        <w:spacing w:after="0"/>
        <w:jc w:val="left"/>
        <w:textAlignment w:val="auto"/>
        <w:rPr>
          <w:rFonts w:cs="Arial"/>
          <w:i/>
          <w:iCs/>
        </w:rPr>
      </w:pPr>
      <w:r w:rsidRPr="00E74749">
        <w:rPr>
          <w:rFonts w:eastAsia="Malgun Gothic" w:cs="Arial"/>
          <w:bCs/>
          <w:i/>
          <w:iCs/>
          <w:color w:val="000000"/>
          <w:lang w:eastAsia="ko-KR"/>
        </w:rPr>
        <w:t>FFS: whether the indication is done by SIB, other RRC signaling, DCI</w:t>
      </w:r>
      <w:r w:rsidRPr="00E74749">
        <w:rPr>
          <w:rFonts w:eastAsia="Malgun Gothic" w:cs="Arial"/>
          <w:bCs/>
          <w:i/>
          <w:iCs/>
          <w:lang w:eastAsia="ko-KR"/>
        </w:rPr>
        <w:t>.</w:t>
      </w:r>
    </w:p>
    <w:p w14:paraId="489CA7E1" w14:textId="77777777" w:rsidR="0025073D" w:rsidRPr="00E74749" w:rsidRDefault="0025073D" w:rsidP="00E74749">
      <w:pPr>
        <w:numPr>
          <w:ilvl w:val="0"/>
          <w:numId w:val="19"/>
        </w:numPr>
        <w:overflowPunct/>
        <w:autoSpaceDE/>
        <w:autoSpaceDN/>
        <w:adjustRightInd/>
        <w:spacing w:after="0"/>
        <w:jc w:val="left"/>
        <w:textAlignment w:val="auto"/>
        <w:rPr>
          <w:rFonts w:cs="Arial"/>
          <w:i/>
          <w:iCs/>
          <w:color w:val="000000"/>
        </w:rPr>
      </w:pPr>
      <w:r w:rsidRPr="00E74749">
        <w:rPr>
          <w:rFonts w:eastAsia="Malgun Gothic" w:cs="Arial"/>
          <w:bCs/>
          <w:i/>
          <w:iCs/>
          <w:color w:val="000000"/>
          <w:lang w:eastAsia="ko-KR"/>
        </w:rPr>
        <w:t>FFS: Whether separate signaling is needed for the UL</w:t>
      </w:r>
      <w:r w:rsidRPr="00E74749">
        <w:rPr>
          <w:rFonts w:cs="Arial"/>
          <w:i/>
          <w:iCs/>
          <w:color w:val="000000"/>
        </w:rPr>
        <w:t xml:space="preserve"> and if so, </w:t>
      </w:r>
      <w:r w:rsidRPr="00E74749">
        <w:rPr>
          <w:rFonts w:eastAsia="Malgun Gothic" w:cs="Arial"/>
          <w:bCs/>
          <w:i/>
          <w:iCs/>
          <w:color w:val="000000"/>
          <w:lang w:eastAsia="ko-KR"/>
        </w:rPr>
        <w:t>whether or not a same polarization is indicated for DL and UL</w:t>
      </w:r>
    </w:p>
    <w:p w14:paraId="3CE13CA7" w14:textId="77777777" w:rsidR="0025073D" w:rsidRPr="00E74749" w:rsidRDefault="0025073D" w:rsidP="00E74749">
      <w:pPr>
        <w:spacing w:after="0"/>
        <w:rPr>
          <w:i/>
          <w:iCs/>
          <w:lang w:eastAsia="x-none"/>
        </w:rPr>
      </w:pPr>
    </w:p>
    <w:p w14:paraId="27E0AB4F" w14:textId="77777777" w:rsidR="0025073D" w:rsidRPr="00E74749" w:rsidRDefault="0025073D" w:rsidP="00E74749">
      <w:pPr>
        <w:shd w:val="clear" w:color="auto" w:fill="FFFFFF"/>
        <w:spacing w:after="0"/>
        <w:rPr>
          <w:rFonts w:eastAsia="SimSun"/>
          <w:i/>
          <w:iCs/>
          <w:color w:val="000000"/>
          <w:u w:val="single"/>
          <w:lang w:val="en-US"/>
        </w:rPr>
      </w:pPr>
      <w:r w:rsidRPr="00E74749">
        <w:rPr>
          <w:rFonts w:eastAsia="SimSun"/>
          <w:i/>
          <w:iCs/>
          <w:color w:val="000000"/>
          <w:u w:val="single"/>
          <w:lang w:val="en-US"/>
        </w:rPr>
        <w:t>Conclusion:</w:t>
      </w:r>
    </w:p>
    <w:p w14:paraId="7118CAF7" w14:textId="77777777" w:rsidR="0025073D" w:rsidRPr="00E74749" w:rsidRDefault="0025073D" w:rsidP="00E74749">
      <w:pPr>
        <w:shd w:val="clear" w:color="auto" w:fill="FFFFFF"/>
        <w:spacing w:after="0"/>
        <w:rPr>
          <w:rFonts w:eastAsia="SimSun"/>
          <w:i/>
          <w:iCs/>
          <w:color w:val="000000"/>
          <w:lang w:val="en-US"/>
        </w:rPr>
      </w:pPr>
      <w:r w:rsidRPr="00E74749">
        <w:rPr>
          <w:rFonts w:eastAsia="SimSun"/>
          <w:i/>
          <w:iCs/>
          <w:color w:val="000000"/>
        </w:rPr>
        <w:t>Discuss </w:t>
      </w:r>
      <w:proofErr w:type="gramStart"/>
      <w:r w:rsidRPr="00E74749">
        <w:rPr>
          <w:rFonts w:eastAsia="SimSun"/>
          <w:i/>
          <w:iCs/>
          <w:color w:val="000000"/>
        </w:rPr>
        <w:t>whether or not</w:t>
      </w:r>
      <w:proofErr w:type="gramEnd"/>
      <w:r w:rsidRPr="00E74749">
        <w:rPr>
          <w:rFonts w:eastAsia="SimSun"/>
          <w:i/>
          <w:iCs/>
          <w:color w:val="FF0000"/>
        </w:rPr>
        <w:t xml:space="preserve"> </w:t>
      </w:r>
      <w:r w:rsidRPr="00E74749">
        <w:rPr>
          <w:rFonts w:eastAsia="SimSun"/>
          <w:i/>
          <w:iCs/>
        </w:rPr>
        <w:t>at least</w:t>
      </w:r>
      <w:r w:rsidRPr="00E74749">
        <w:rPr>
          <w:rFonts w:eastAsia="SimSun"/>
          <w:i/>
          <w:iCs/>
          <w:color w:val="FF0000"/>
        </w:rPr>
        <w:t> </w:t>
      </w:r>
      <w:r w:rsidRPr="00E74749">
        <w:rPr>
          <w:rFonts w:eastAsia="SimSun"/>
          <w:i/>
          <w:iCs/>
          <w:color w:val="000000"/>
        </w:rPr>
        <w:t>following issues are valid and decide whether or not enhancements are needed in addition to current NR specification for supporting NTN beam management:</w:t>
      </w:r>
    </w:p>
    <w:p w14:paraId="5F2F5AB1" w14:textId="77777777" w:rsidR="0025073D" w:rsidRPr="00E74749" w:rsidRDefault="0025073D" w:rsidP="00534B3E">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36B726F9"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2: NR BWP switching in UL and DL are not jointly triggered for FDD. However, in NTN FRF&gt;1 FDD scenario, beam switching may result in a BWP switching in both DL and UL.</w:t>
      </w:r>
    </w:p>
    <w:p w14:paraId="2B5EDCCD"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lastRenderedPageBreak/>
        <w:t>Issue 3: NR dynamic BWP switching requires data scheduling. While in NTN FRF&gt;1 scenario, we may need a fast BWP switching triggering without data scheduling.</w:t>
      </w:r>
    </w:p>
    <w:p w14:paraId="71495CBE"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4: NR BWP switching does not require re-synchronization. However, in NTN FRF&gt;1 scenario, when a satellite beam switching is triggered, UE may need to perform re-synchronization in the switched BWP. </w:t>
      </w:r>
    </w:p>
    <w:p w14:paraId="2677CEAD"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5: Since satellite beam switching can be frequent and often highly predictable, mechanisms of configured BWP switching (can be a sequence of BWPs) may be preferred but current NR does not allow it.</w:t>
      </w:r>
    </w:p>
    <w:p w14:paraId="5D407AD1"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6: How to deal with BWP switching triggered by bwpInactivityTimer, RA procedure, or simply a need to increase throughput instead of for beam-level mobility.</w:t>
      </w:r>
    </w:p>
    <w:p w14:paraId="0DB49811"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643A8C7B" w14:textId="77777777" w:rsidR="0025073D" w:rsidRPr="00E74749" w:rsidRDefault="0025073D" w:rsidP="00E74749">
      <w:pPr>
        <w:spacing w:after="0"/>
        <w:rPr>
          <w:i/>
          <w:iCs/>
          <w:lang w:eastAsia="x-none"/>
        </w:rPr>
      </w:pPr>
    </w:p>
    <w:p w14:paraId="352C2F63" w14:textId="77777777" w:rsidR="0025073D" w:rsidRPr="00E74749" w:rsidRDefault="0025073D" w:rsidP="00E74749">
      <w:pPr>
        <w:shd w:val="clear" w:color="auto" w:fill="FFFFFF"/>
        <w:spacing w:after="0"/>
        <w:rPr>
          <w:rFonts w:eastAsia="SimSun"/>
          <w:i/>
          <w:iCs/>
          <w:color w:val="000000"/>
          <w:u w:val="single"/>
        </w:rPr>
      </w:pPr>
      <w:r w:rsidRPr="00E74749">
        <w:rPr>
          <w:rFonts w:eastAsia="SimSun"/>
          <w:i/>
          <w:iCs/>
          <w:color w:val="000000"/>
          <w:u w:val="single"/>
        </w:rPr>
        <w:t>Conclusion:</w:t>
      </w:r>
    </w:p>
    <w:p w14:paraId="7B22C799" w14:textId="77777777" w:rsidR="0025073D" w:rsidRPr="00E74749" w:rsidRDefault="0025073D" w:rsidP="00E74749">
      <w:pPr>
        <w:shd w:val="clear" w:color="auto" w:fill="FFFFFF"/>
        <w:spacing w:after="0"/>
        <w:rPr>
          <w:rFonts w:eastAsia="SimSun"/>
          <w:i/>
          <w:iCs/>
          <w:color w:val="000000"/>
        </w:rPr>
      </w:pPr>
      <w:r w:rsidRPr="00E74749">
        <w:rPr>
          <w:rFonts w:eastAsia="SimSun"/>
          <w:i/>
          <w:iCs/>
          <w:color w:val="000000"/>
        </w:rPr>
        <w:t>Discuss the necessity of reporting UE polarization capability considering at least following aspects, </w:t>
      </w:r>
    </w:p>
    <w:p w14:paraId="0050223C" w14:textId="77777777" w:rsidR="0025073D" w:rsidRPr="00E74749" w:rsidRDefault="0025073D" w:rsidP="00534B3E">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Deployment scenarios.</w:t>
      </w:r>
    </w:p>
    <w:p w14:paraId="1D3E0FC5" w14:textId="77777777" w:rsidR="0025073D" w:rsidRPr="00E74749" w:rsidRDefault="0025073D" w:rsidP="00E74749">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UE implementation aspects with respect to polarization.</w:t>
      </w:r>
    </w:p>
    <w:p w14:paraId="70EFC657" w14:textId="77777777" w:rsidR="0025073D" w:rsidRPr="00E74749" w:rsidRDefault="0025073D" w:rsidP="00E74749">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Satellite implementation aspects for switching between polarization states.</w:t>
      </w:r>
    </w:p>
    <w:p w14:paraId="3998F4A9" w14:textId="77777777" w:rsidR="0025073D" w:rsidRPr="00E74749" w:rsidRDefault="0025073D" w:rsidP="00E74749">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Satellite implementation aspects for realizing multiplexing of UEs having different polarization capabilities.</w:t>
      </w:r>
    </w:p>
    <w:p w14:paraId="2B1B852C" w14:textId="7446AAA6" w:rsidR="0025073D" w:rsidRDefault="0025073D" w:rsidP="00001445">
      <w:pPr>
        <w:spacing w:line="276" w:lineRule="auto"/>
        <w:rPr>
          <w:rFonts w:cs="Arial"/>
          <w:sz w:val="22"/>
          <w:szCs w:val="22"/>
        </w:rPr>
      </w:pPr>
    </w:p>
    <w:p w14:paraId="560D87AF" w14:textId="5D776AEE" w:rsidR="005722BA" w:rsidRDefault="005722BA" w:rsidP="00001445">
      <w:pPr>
        <w:spacing w:line="276" w:lineRule="auto"/>
        <w:rPr>
          <w:rFonts w:cs="Arial"/>
          <w:sz w:val="22"/>
          <w:szCs w:val="22"/>
        </w:rPr>
      </w:pPr>
      <w:r w:rsidRPr="00E74749">
        <w:rPr>
          <w:rFonts w:cs="Arial"/>
          <w:b/>
          <w:bCs/>
          <w:sz w:val="22"/>
          <w:szCs w:val="22"/>
          <w:u w:val="single"/>
        </w:rPr>
        <w:t>RAN1 #10</w:t>
      </w:r>
      <w:r>
        <w:rPr>
          <w:rFonts w:cs="Arial"/>
          <w:b/>
          <w:bCs/>
          <w:sz w:val="22"/>
          <w:szCs w:val="22"/>
          <w:u w:val="single"/>
        </w:rPr>
        <w:t>5</w:t>
      </w:r>
      <w:r w:rsidRPr="00E74749">
        <w:rPr>
          <w:rFonts w:cs="Arial"/>
          <w:b/>
          <w:bCs/>
          <w:sz w:val="22"/>
          <w:szCs w:val="22"/>
          <w:u w:val="single"/>
        </w:rPr>
        <w:t>e</w:t>
      </w:r>
    </w:p>
    <w:p w14:paraId="36D328D8" w14:textId="77777777" w:rsidR="005722BA" w:rsidRPr="00D56247" w:rsidRDefault="005722BA" w:rsidP="00D56247">
      <w:pPr>
        <w:spacing w:after="0"/>
        <w:rPr>
          <w:i/>
          <w:iCs/>
          <w:lang w:eastAsia="x-none"/>
        </w:rPr>
      </w:pPr>
      <w:r w:rsidRPr="00D56247">
        <w:rPr>
          <w:i/>
          <w:iCs/>
          <w:highlight w:val="green"/>
          <w:lang w:eastAsia="x-none"/>
        </w:rPr>
        <w:t>Agreement:</w:t>
      </w:r>
    </w:p>
    <w:p w14:paraId="5DD2C9F9" w14:textId="77777777" w:rsidR="005722BA" w:rsidRPr="00D56247" w:rsidRDefault="005722BA" w:rsidP="00D56247">
      <w:pPr>
        <w:spacing w:after="0"/>
        <w:rPr>
          <w:i/>
          <w:iCs/>
          <w:lang w:eastAsia="x-none"/>
        </w:rPr>
      </w:pPr>
      <w:r w:rsidRPr="00D56247">
        <w:rPr>
          <w:i/>
          <w:iCs/>
          <w:lang w:eastAsia="x-none"/>
        </w:rPr>
        <w:t>Same beam layout in BWP#0 and BWP#x (Option 1) and hierarchical beam for BWP#0 (Option 2) should be supported by the specifications for NR-NTN.</w:t>
      </w:r>
    </w:p>
    <w:p w14:paraId="7A9B37AF" w14:textId="77777777" w:rsidR="005722BA" w:rsidRPr="00D56247" w:rsidRDefault="005722BA" w:rsidP="005722BA">
      <w:pPr>
        <w:numPr>
          <w:ilvl w:val="0"/>
          <w:numId w:val="24"/>
        </w:numPr>
        <w:overflowPunct/>
        <w:autoSpaceDE/>
        <w:autoSpaceDN/>
        <w:adjustRightInd/>
        <w:spacing w:after="0"/>
        <w:jc w:val="left"/>
        <w:textAlignment w:val="auto"/>
        <w:rPr>
          <w:i/>
          <w:iCs/>
          <w:lang w:eastAsia="x-none"/>
        </w:rPr>
      </w:pPr>
      <w:r w:rsidRPr="00D56247">
        <w:rPr>
          <w:i/>
          <w:iCs/>
          <w:lang w:eastAsia="x-none"/>
        </w:rPr>
        <w:t>FFS: Whether any specification changes are needed specifically to support this functionality</w:t>
      </w:r>
    </w:p>
    <w:p w14:paraId="2FB439CC" w14:textId="77777777" w:rsidR="005722BA" w:rsidRPr="00D56247" w:rsidRDefault="005722BA" w:rsidP="00D56247">
      <w:pPr>
        <w:spacing w:after="0"/>
        <w:rPr>
          <w:i/>
          <w:iCs/>
          <w:lang w:eastAsia="x-none"/>
        </w:rPr>
      </w:pPr>
    </w:p>
    <w:p w14:paraId="301A1F73" w14:textId="77777777" w:rsidR="005722BA" w:rsidRPr="00D56247" w:rsidRDefault="005722BA" w:rsidP="00D56247">
      <w:pPr>
        <w:spacing w:after="0"/>
        <w:rPr>
          <w:i/>
          <w:iCs/>
          <w:lang w:eastAsia="x-none"/>
        </w:rPr>
      </w:pPr>
      <w:r w:rsidRPr="00D56247">
        <w:rPr>
          <w:i/>
          <w:iCs/>
          <w:highlight w:val="green"/>
          <w:lang w:eastAsia="x-none"/>
        </w:rPr>
        <w:t>Agreement:</w:t>
      </w:r>
    </w:p>
    <w:p w14:paraId="75355E88" w14:textId="77777777" w:rsidR="005722BA" w:rsidRPr="00D56247" w:rsidRDefault="005722BA" w:rsidP="00D56247">
      <w:pPr>
        <w:spacing w:after="0"/>
        <w:rPr>
          <w:i/>
          <w:iCs/>
          <w:lang w:eastAsia="x-none"/>
        </w:rPr>
      </w:pPr>
      <w:r w:rsidRPr="00D56247">
        <w:rPr>
          <w:i/>
          <w:iCs/>
          <w:lang w:eastAsia="x-none"/>
        </w:rPr>
        <w:t>For explicit indication of polarization information for DL by the network, support indication in SIB</w:t>
      </w:r>
    </w:p>
    <w:p w14:paraId="1B788CDB" w14:textId="77777777" w:rsidR="005722BA" w:rsidRPr="00D56247" w:rsidRDefault="005722BA" w:rsidP="005722BA">
      <w:pPr>
        <w:numPr>
          <w:ilvl w:val="0"/>
          <w:numId w:val="24"/>
        </w:numPr>
        <w:overflowPunct/>
        <w:autoSpaceDE/>
        <w:autoSpaceDN/>
        <w:adjustRightInd/>
        <w:spacing w:after="0"/>
        <w:jc w:val="left"/>
        <w:textAlignment w:val="auto"/>
        <w:rPr>
          <w:i/>
          <w:iCs/>
          <w:lang w:eastAsia="x-none"/>
        </w:rPr>
      </w:pPr>
      <w:r w:rsidRPr="00D56247">
        <w:rPr>
          <w:i/>
          <w:iCs/>
          <w:lang w:eastAsia="x-none"/>
        </w:rPr>
        <w:t>FFS: Signaling details for indication in SIB</w:t>
      </w:r>
    </w:p>
    <w:p w14:paraId="7AC0745D" w14:textId="77777777" w:rsidR="005722BA" w:rsidRPr="00D56247" w:rsidRDefault="005722BA" w:rsidP="00D56247">
      <w:pPr>
        <w:spacing w:after="0"/>
        <w:rPr>
          <w:i/>
          <w:iCs/>
          <w:lang w:eastAsia="x-none"/>
        </w:rPr>
      </w:pPr>
    </w:p>
    <w:p w14:paraId="443D0693" w14:textId="77777777" w:rsidR="005722BA" w:rsidRPr="00D56247" w:rsidRDefault="005722BA" w:rsidP="00D56247">
      <w:pPr>
        <w:spacing w:after="0"/>
        <w:rPr>
          <w:i/>
          <w:iCs/>
          <w:lang w:eastAsia="x-none"/>
        </w:rPr>
      </w:pPr>
      <w:r w:rsidRPr="00D56247">
        <w:rPr>
          <w:i/>
          <w:iCs/>
          <w:highlight w:val="green"/>
          <w:lang w:eastAsia="x-none"/>
        </w:rPr>
        <w:t>Agreement:</w:t>
      </w:r>
    </w:p>
    <w:p w14:paraId="743219BA" w14:textId="77777777" w:rsidR="005722BA" w:rsidRPr="00D56247" w:rsidRDefault="005722BA" w:rsidP="005722BA">
      <w:pPr>
        <w:numPr>
          <w:ilvl w:val="0"/>
          <w:numId w:val="24"/>
        </w:numPr>
        <w:overflowPunct/>
        <w:autoSpaceDE/>
        <w:autoSpaceDN/>
        <w:adjustRightInd/>
        <w:spacing w:after="0"/>
        <w:jc w:val="left"/>
        <w:textAlignment w:val="auto"/>
        <w:rPr>
          <w:i/>
          <w:iCs/>
          <w:lang w:val="en-US" w:eastAsia="x-none"/>
        </w:rPr>
      </w:pPr>
      <w:r w:rsidRPr="00D56247">
        <w:rPr>
          <w:i/>
          <w:iCs/>
          <w:lang w:val="en-US" w:eastAsia="x-none"/>
        </w:rPr>
        <w:t>Polarization information for UL may be indicated in SIB by the network</w:t>
      </w:r>
    </w:p>
    <w:p w14:paraId="4111FD17" w14:textId="77777777" w:rsidR="005722BA" w:rsidRPr="00D56247" w:rsidRDefault="005722BA" w:rsidP="005722BA">
      <w:pPr>
        <w:numPr>
          <w:ilvl w:val="0"/>
          <w:numId w:val="24"/>
        </w:numPr>
        <w:overflowPunct/>
        <w:autoSpaceDE/>
        <w:autoSpaceDN/>
        <w:adjustRightInd/>
        <w:spacing w:after="0"/>
        <w:jc w:val="left"/>
        <w:textAlignment w:val="auto"/>
        <w:rPr>
          <w:i/>
          <w:iCs/>
          <w:lang w:val="en-US" w:eastAsia="x-none"/>
        </w:rPr>
      </w:pPr>
      <w:r w:rsidRPr="00D56247">
        <w:rPr>
          <w:i/>
          <w:iCs/>
          <w:lang w:val="en-US" w:eastAsia="x-none"/>
        </w:rPr>
        <w:t>UE assumes a same polarization for UL and DL, when the UL polarization information is absent.</w:t>
      </w:r>
    </w:p>
    <w:p w14:paraId="6A273365" w14:textId="77777777" w:rsidR="005722BA" w:rsidRPr="00D56247" w:rsidRDefault="005722BA" w:rsidP="005722BA">
      <w:pPr>
        <w:numPr>
          <w:ilvl w:val="0"/>
          <w:numId w:val="24"/>
        </w:numPr>
        <w:overflowPunct/>
        <w:autoSpaceDE/>
        <w:autoSpaceDN/>
        <w:adjustRightInd/>
        <w:spacing w:after="0"/>
        <w:jc w:val="left"/>
        <w:textAlignment w:val="auto"/>
        <w:rPr>
          <w:i/>
          <w:iCs/>
          <w:lang w:val="en-US" w:eastAsia="x-none"/>
        </w:rPr>
      </w:pPr>
      <w:r w:rsidRPr="00D56247">
        <w:rPr>
          <w:i/>
          <w:iCs/>
          <w:lang w:val="en-US" w:eastAsia="x-none"/>
        </w:rPr>
        <w:t>FFS: Signaling details for indication in SIB</w:t>
      </w:r>
    </w:p>
    <w:p w14:paraId="631F2AFE" w14:textId="77777777" w:rsidR="005722BA" w:rsidRDefault="005722BA" w:rsidP="00001445">
      <w:pPr>
        <w:spacing w:line="276" w:lineRule="auto"/>
        <w:rPr>
          <w:rFonts w:cs="Arial"/>
          <w:sz w:val="22"/>
          <w:szCs w:val="22"/>
        </w:rPr>
      </w:pPr>
    </w:p>
    <w:p w14:paraId="6D28A8BF" w14:textId="12F02F89" w:rsidR="00BE6342" w:rsidRPr="000C3C1B" w:rsidRDefault="00001445" w:rsidP="00001445">
      <w:pPr>
        <w:spacing w:line="276" w:lineRule="auto"/>
      </w:pPr>
      <w:r w:rsidRPr="008924A3">
        <w:rPr>
          <w:rFonts w:cs="Arial"/>
          <w:sz w:val="22"/>
          <w:szCs w:val="22"/>
        </w:rPr>
        <w:t>In this contribution, we discuss</w:t>
      </w:r>
      <w:r w:rsidR="0025073D">
        <w:rPr>
          <w:rFonts w:cs="Arial"/>
          <w:sz w:val="22"/>
          <w:szCs w:val="22"/>
        </w:rPr>
        <w:t xml:space="preserve"> further on</w:t>
      </w:r>
      <w:r w:rsidR="008F5A4A">
        <w:rPr>
          <w:rFonts w:cs="Arial"/>
          <w:sz w:val="22"/>
          <w:szCs w:val="22"/>
        </w:rPr>
        <w:t xml:space="preserve"> beam management related issues for NTN</w:t>
      </w:r>
      <w:bookmarkEnd w:id="0"/>
      <w:r w:rsidR="00E60A1B">
        <w:rPr>
          <w:rFonts w:cs="Arial"/>
          <w:sz w:val="22"/>
          <w:szCs w:val="22"/>
        </w:rPr>
        <w:t>.</w:t>
      </w:r>
    </w:p>
    <w:p w14:paraId="736A3CFD" w14:textId="2F9EBA69" w:rsidR="00214E6A" w:rsidRDefault="00214E6A" w:rsidP="00214E6A">
      <w:pPr>
        <w:pStyle w:val="Heading1"/>
      </w:pPr>
      <w:r>
        <w:t>Discussion</w:t>
      </w:r>
    </w:p>
    <w:p w14:paraId="4312C141" w14:textId="77B2C104" w:rsidR="002471D9" w:rsidRDefault="000C18C9" w:rsidP="00E74749">
      <w:pPr>
        <w:pStyle w:val="Heading2"/>
      </w:pPr>
      <w:r>
        <w:t>NTN beam management</w:t>
      </w:r>
    </w:p>
    <w:p w14:paraId="09732CC8" w14:textId="4FA122EE" w:rsidR="00DC27C8" w:rsidRDefault="000C18C9" w:rsidP="00FF5766">
      <w:pPr>
        <w:spacing w:line="276" w:lineRule="auto"/>
        <w:rPr>
          <w:rFonts w:eastAsia="Calibri" w:cs="Arial"/>
          <w:bCs/>
          <w:sz w:val="22"/>
          <w:szCs w:val="22"/>
        </w:rPr>
      </w:pPr>
      <w:r>
        <w:rPr>
          <w:rFonts w:eastAsia="Calibri" w:cs="Arial"/>
          <w:bCs/>
          <w:sz w:val="22"/>
          <w:szCs w:val="22"/>
        </w:rPr>
        <w:t>In RAN1 #105-e, the discussion focused on the following three issues [1]:</w:t>
      </w:r>
    </w:p>
    <w:p w14:paraId="2E0F8626" w14:textId="0C573D98" w:rsidR="000C18C9" w:rsidRPr="00D56247" w:rsidRDefault="000C18C9" w:rsidP="00D56247">
      <w:pPr>
        <w:pStyle w:val="ListParagraph"/>
        <w:numPr>
          <w:ilvl w:val="0"/>
          <w:numId w:val="20"/>
        </w:numPr>
        <w:shd w:val="clear" w:color="auto" w:fill="FFFFFF"/>
        <w:spacing w:after="0" w:line="240" w:lineRule="auto"/>
        <w:contextualSpacing w:val="0"/>
        <w:jc w:val="both"/>
        <w:rPr>
          <w:rFonts w:ascii="Arial" w:hAnsi="Arial" w:cs="Arial"/>
          <w:color w:val="000000"/>
          <w:lang w:eastAsia="zh-CN"/>
        </w:rPr>
      </w:pPr>
      <w:r w:rsidRPr="00D56247">
        <w:rPr>
          <w:rFonts w:ascii="Arial" w:hAnsi="Arial" w:cs="Arial"/>
          <w:color w:val="000000"/>
          <w:lang w:eastAsia="zh-CN"/>
        </w:rPr>
        <w:t xml:space="preserve">Issue </w:t>
      </w:r>
      <w:r>
        <w:rPr>
          <w:rFonts w:ascii="Arial" w:hAnsi="Arial" w:cs="Arial"/>
          <w:color w:val="000000"/>
          <w:lang w:eastAsia="zh-CN"/>
        </w:rPr>
        <w:t>#</w:t>
      </w:r>
      <w:r w:rsidRPr="00D56247">
        <w:rPr>
          <w:rFonts w:ascii="Arial" w:hAnsi="Arial" w:cs="Arial"/>
          <w:color w:val="000000"/>
          <w:lang w:eastAsia="zh-CN"/>
        </w:rPr>
        <w:t>1: NR BWP is not directly associated with a beam. Thus, when using TCI to change beam from beam 1 to beam 2, it does not trigger NR BWP switching. However, in NTN FRF&gt;1 case, beam switching may result in a BWP switching.</w:t>
      </w:r>
    </w:p>
    <w:p w14:paraId="226FF1F7" w14:textId="09E2A918" w:rsidR="000C18C9" w:rsidRPr="00D56247" w:rsidRDefault="000C18C9" w:rsidP="00D56247">
      <w:pPr>
        <w:pStyle w:val="ListParagraph"/>
        <w:numPr>
          <w:ilvl w:val="0"/>
          <w:numId w:val="20"/>
        </w:numPr>
        <w:shd w:val="clear" w:color="auto" w:fill="FFFFFF"/>
        <w:spacing w:after="0" w:line="240" w:lineRule="auto"/>
        <w:contextualSpacing w:val="0"/>
        <w:jc w:val="both"/>
        <w:rPr>
          <w:rFonts w:ascii="Arial" w:hAnsi="Arial" w:cs="Arial"/>
          <w:color w:val="000000"/>
          <w:lang w:eastAsia="zh-CN"/>
        </w:rPr>
      </w:pPr>
      <w:r w:rsidRPr="00D56247">
        <w:rPr>
          <w:rFonts w:ascii="Arial" w:hAnsi="Arial" w:cs="Arial"/>
          <w:color w:val="000000"/>
          <w:lang w:eastAsia="zh-CN"/>
        </w:rPr>
        <w:t xml:space="preserve">Issue </w:t>
      </w:r>
      <w:r>
        <w:rPr>
          <w:rFonts w:ascii="Arial" w:hAnsi="Arial" w:cs="Arial"/>
          <w:color w:val="000000"/>
          <w:lang w:eastAsia="zh-CN"/>
        </w:rPr>
        <w:t>#</w:t>
      </w:r>
      <w:r w:rsidRPr="00D56247">
        <w:rPr>
          <w:rFonts w:ascii="Arial" w:hAnsi="Arial" w:cs="Arial"/>
          <w:color w:val="000000"/>
          <w:lang w:eastAsia="zh-CN"/>
        </w:rPr>
        <w:t>5: Since satellite beam switching can be frequent and often highly predictable, mechanisms of configured BWP switching (can be a sequence of BWPs) may be preferred but current NR does not allow it.</w:t>
      </w:r>
    </w:p>
    <w:p w14:paraId="5AE8D962" w14:textId="2DC163BE" w:rsidR="000C18C9" w:rsidRPr="00D56247" w:rsidRDefault="000C18C9" w:rsidP="00D56247">
      <w:pPr>
        <w:pStyle w:val="ListParagraph"/>
        <w:numPr>
          <w:ilvl w:val="0"/>
          <w:numId w:val="20"/>
        </w:numPr>
        <w:shd w:val="clear" w:color="auto" w:fill="FFFFFF"/>
        <w:spacing w:after="0" w:line="240" w:lineRule="auto"/>
        <w:contextualSpacing w:val="0"/>
        <w:jc w:val="both"/>
        <w:rPr>
          <w:rFonts w:ascii="Arial" w:hAnsi="Arial" w:cs="Arial"/>
          <w:color w:val="000000"/>
          <w:lang w:eastAsia="zh-CN"/>
        </w:rPr>
      </w:pPr>
      <w:r w:rsidRPr="00D56247">
        <w:rPr>
          <w:rFonts w:ascii="Arial" w:hAnsi="Arial" w:cs="Arial"/>
          <w:color w:val="000000"/>
          <w:lang w:eastAsia="zh-CN"/>
        </w:rPr>
        <w:t xml:space="preserve">Issue </w:t>
      </w:r>
      <w:r>
        <w:rPr>
          <w:rFonts w:ascii="Arial" w:hAnsi="Arial" w:cs="Arial"/>
          <w:color w:val="000000"/>
          <w:lang w:eastAsia="zh-CN"/>
        </w:rPr>
        <w:t>#</w:t>
      </w:r>
      <w:r w:rsidRPr="00D56247">
        <w:rPr>
          <w:rFonts w:ascii="Arial" w:hAnsi="Arial" w:cs="Arial"/>
          <w:color w:val="000000"/>
          <w:lang w:eastAsia="zh-CN"/>
        </w:rPr>
        <w:t xml:space="preserve">7: NR BWP switching/beam switching is done with UE specific signalling due to UE </w:t>
      </w:r>
      <w:r w:rsidR="001802C8" w:rsidRPr="00D56247">
        <w:rPr>
          <w:rFonts w:ascii="Arial" w:hAnsi="Arial" w:cs="Arial"/>
          <w:color w:val="000000"/>
          <w:lang w:eastAsia="zh-CN"/>
        </w:rPr>
        <w:t>movements</w:t>
      </w:r>
      <w:r w:rsidRPr="00D56247">
        <w:rPr>
          <w:rFonts w:ascii="Arial" w:hAnsi="Arial" w:cs="Arial"/>
          <w:color w:val="000000"/>
          <w:lang w:eastAsia="zh-CN"/>
        </w:rPr>
        <w:t xml:space="preserve">. However, in NTN scenario, a satellite BWP/beam switching is common for set of </w:t>
      </w:r>
      <w:r w:rsidRPr="00D56247">
        <w:rPr>
          <w:rFonts w:ascii="Arial" w:hAnsi="Arial" w:cs="Arial"/>
          <w:color w:val="000000"/>
          <w:lang w:eastAsia="zh-CN"/>
        </w:rPr>
        <w:lastRenderedPageBreak/>
        <w:t>UEs, we may need to a common BWP/beam switching mechanism to save the signalling overhead.</w:t>
      </w:r>
    </w:p>
    <w:p w14:paraId="173D8477" w14:textId="0234CF90" w:rsidR="000C18C9" w:rsidRDefault="000C18C9" w:rsidP="00FF5766">
      <w:pPr>
        <w:spacing w:line="276" w:lineRule="auto"/>
        <w:rPr>
          <w:rFonts w:eastAsia="Calibri" w:cs="Arial"/>
          <w:bCs/>
          <w:sz w:val="22"/>
          <w:szCs w:val="22"/>
          <w:lang w:val="en-US" w:eastAsia="ko-KR"/>
        </w:rPr>
      </w:pPr>
    </w:p>
    <w:p w14:paraId="3F0B7F5C" w14:textId="0D154C59" w:rsidR="000C18C9" w:rsidRDefault="000C18C9" w:rsidP="00FF5766">
      <w:pPr>
        <w:spacing w:line="276" w:lineRule="auto"/>
        <w:rPr>
          <w:rFonts w:eastAsia="Calibri" w:cs="Arial"/>
          <w:bCs/>
          <w:sz w:val="22"/>
          <w:szCs w:val="22"/>
          <w:lang w:val="en-US" w:eastAsia="ko-KR"/>
        </w:rPr>
      </w:pPr>
      <w:r>
        <w:rPr>
          <w:rFonts w:eastAsia="Calibri" w:cs="Arial"/>
          <w:bCs/>
          <w:sz w:val="22"/>
          <w:szCs w:val="22"/>
          <w:lang w:val="en-US" w:eastAsia="ko-KR"/>
        </w:rPr>
        <w:t xml:space="preserve">For the Issue #1, it is concluded that current specification can support BWP/beam switching at the same </w:t>
      </w:r>
      <w:r w:rsidR="00D737D6">
        <w:rPr>
          <w:rFonts w:eastAsia="Calibri" w:cs="Arial"/>
          <w:bCs/>
          <w:sz w:val="22"/>
          <w:szCs w:val="22"/>
          <w:lang w:val="en-US" w:eastAsia="ko-KR"/>
        </w:rPr>
        <w:t xml:space="preserve">time </w:t>
      </w:r>
      <w:r>
        <w:rPr>
          <w:rFonts w:eastAsia="Calibri" w:cs="Arial"/>
          <w:bCs/>
          <w:sz w:val="22"/>
          <w:szCs w:val="22"/>
          <w:lang w:val="en-US" w:eastAsia="ko-KR"/>
        </w:rPr>
        <w:t>as the BWP switching trigger DCI including BWP-id and TCI state. Also, CORESETs in each BWPs already has beam association via higher layer configuration. In NTN scenario, it can be assumed that a single beam (e.g., TCI-state) may be associated with all downlink channels and/or reference signals which is even simpler than current beam management in TN scenario. Therefore, it seems no further discussion is needed for the Issue #1</w:t>
      </w:r>
    </w:p>
    <w:p w14:paraId="30EFFFCB" w14:textId="1A928418" w:rsidR="000C18C9" w:rsidRPr="00CD1545" w:rsidRDefault="00CD1545" w:rsidP="00FF5766">
      <w:pPr>
        <w:spacing w:line="276" w:lineRule="auto"/>
        <w:rPr>
          <w:rFonts w:eastAsia="Calibri" w:cs="Arial"/>
          <w:bCs/>
          <w:sz w:val="22"/>
          <w:szCs w:val="22"/>
          <w:lang w:val="en-US" w:eastAsia="ko-KR"/>
        </w:rPr>
      </w:pPr>
      <w:r w:rsidRPr="00CD1545">
        <w:rPr>
          <w:rFonts w:eastAsia="Calibri" w:cs="Arial"/>
          <w:bCs/>
          <w:sz w:val="22"/>
          <w:szCs w:val="22"/>
          <w:lang w:val="en-US" w:eastAsia="ko-KR"/>
        </w:rPr>
        <w:t xml:space="preserve">For the Issue #2, two alternatives were discussed </w:t>
      </w:r>
      <w:r w:rsidR="00845030">
        <w:rPr>
          <w:rFonts w:eastAsia="Calibri" w:cs="Arial"/>
          <w:bCs/>
          <w:sz w:val="22"/>
          <w:szCs w:val="22"/>
          <w:lang w:val="en-US" w:eastAsia="ko-KR"/>
        </w:rPr>
        <w:t xml:space="preserve">as following based on the assumption </w:t>
      </w:r>
      <w:r w:rsidR="001802C8">
        <w:rPr>
          <w:rFonts w:eastAsia="Calibri" w:cs="Arial"/>
          <w:bCs/>
          <w:sz w:val="22"/>
          <w:szCs w:val="22"/>
          <w:lang w:val="en-US" w:eastAsia="ko-KR"/>
        </w:rPr>
        <w:t>that satellite</w:t>
      </w:r>
      <w:r w:rsidR="00845030">
        <w:rPr>
          <w:rFonts w:eastAsia="Calibri" w:cs="Arial"/>
          <w:bCs/>
          <w:sz w:val="22"/>
          <w:szCs w:val="22"/>
          <w:lang w:val="en-US" w:eastAsia="ko-KR"/>
        </w:rPr>
        <w:t xml:space="preserve"> beam switching is predictable</w:t>
      </w:r>
      <w:r w:rsidR="00FE04E4">
        <w:rPr>
          <w:rFonts w:eastAsia="Calibri" w:cs="Arial"/>
          <w:bCs/>
          <w:sz w:val="22"/>
          <w:szCs w:val="22"/>
          <w:lang w:val="en-US" w:eastAsia="ko-KR"/>
        </w:rPr>
        <w:t xml:space="preserve"> from either gNB or UE</w:t>
      </w:r>
      <w:r w:rsidR="00845030">
        <w:rPr>
          <w:rFonts w:eastAsia="Calibri" w:cs="Arial"/>
          <w:bCs/>
          <w:sz w:val="22"/>
          <w:szCs w:val="22"/>
          <w:lang w:val="en-US" w:eastAsia="ko-KR"/>
        </w:rPr>
        <w:t>:</w:t>
      </w:r>
    </w:p>
    <w:p w14:paraId="4288B629" w14:textId="0F9341CA" w:rsidR="00CD1545" w:rsidRDefault="00CD1545" w:rsidP="00CD1545">
      <w:pPr>
        <w:pStyle w:val="ListParagraph"/>
        <w:numPr>
          <w:ilvl w:val="0"/>
          <w:numId w:val="25"/>
        </w:numPr>
        <w:spacing w:line="276" w:lineRule="auto"/>
        <w:rPr>
          <w:rFonts w:ascii="Arial" w:eastAsia="Calibri" w:hAnsi="Arial" w:cs="Arial"/>
          <w:bCs/>
          <w:lang w:eastAsia="ko-KR"/>
        </w:rPr>
      </w:pPr>
      <w:r w:rsidRPr="00D56247">
        <w:rPr>
          <w:rFonts w:ascii="Arial" w:eastAsia="Calibri" w:hAnsi="Arial" w:cs="Arial"/>
          <w:bCs/>
          <w:lang w:eastAsia="ko-KR"/>
        </w:rPr>
        <w:t xml:space="preserve">Alt-1: </w:t>
      </w:r>
      <w:r>
        <w:rPr>
          <w:rFonts w:ascii="Arial" w:eastAsia="Calibri" w:hAnsi="Arial" w:cs="Arial"/>
          <w:bCs/>
          <w:lang w:eastAsia="ko-KR"/>
        </w:rPr>
        <w:t>UE BWP</w:t>
      </w:r>
      <w:r w:rsidR="00845030">
        <w:rPr>
          <w:rFonts w:ascii="Arial" w:eastAsia="Calibri" w:hAnsi="Arial" w:cs="Arial"/>
          <w:bCs/>
          <w:lang w:eastAsia="ko-KR"/>
        </w:rPr>
        <w:t>/beam switching is triggered by gNB relying on prediction on gNB side</w:t>
      </w:r>
    </w:p>
    <w:p w14:paraId="0FE43F20" w14:textId="7D3BB081" w:rsidR="00845030" w:rsidRPr="00D56247" w:rsidRDefault="00845030" w:rsidP="00D56247">
      <w:pPr>
        <w:pStyle w:val="ListParagraph"/>
        <w:numPr>
          <w:ilvl w:val="0"/>
          <w:numId w:val="25"/>
        </w:numPr>
        <w:spacing w:line="276" w:lineRule="auto"/>
        <w:rPr>
          <w:rFonts w:eastAsia="Calibri" w:cs="Arial"/>
          <w:bCs/>
          <w:lang w:eastAsia="ko-KR"/>
        </w:rPr>
      </w:pPr>
      <w:r>
        <w:rPr>
          <w:rFonts w:ascii="Arial" w:eastAsia="Calibri" w:hAnsi="Arial" w:cs="Arial"/>
          <w:bCs/>
          <w:lang w:eastAsia="ko-KR"/>
        </w:rPr>
        <w:t>Alt-2: UE BWP/beam switching is performed by UE autonomously relying on assistant information</w:t>
      </w:r>
    </w:p>
    <w:p w14:paraId="0F0DE30C" w14:textId="0EA0F7EF" w:rsidR="00845030" w:rsidRDefault="00FE04E4" w:rsidP="00845030">
      <w:pPr>
        <w:spacing w:line="276" w:lineRule="auto"/>
        <w:rPr>
          <w:rFonts w:eastAsia="Calibri" w:cs="Arial"/>
          <w:bCs/>
          <w:sz w:val="22"/>
          <w:szCs w:val="22"/>
          <w:lang w:eastAsia="ko-KR"/>
        </w:rPr>
      </w:pPr>
      <w:r>
        <w:rPr>
          <w:rFonts w:eastAsia="Calibri" w:cs="Arial"/>
          <w:bCs/>
          <w:sz w:val="22"/>
          <w:szCs w:val="22"/>
          <w:lang w:eastAsia="ko-KR"/>
        </w:rPr>
        <w:t xml:space="preserve">In TN, the beam switching is triggered by gNB based on the beam measurement information at the UE. For example, a UE may measure beam reference signals (e.g., SSB or CSI-RS) and report L1-RSRP measurement with a preferred beam index (e.g., CRI). In NTN scenario, although UE may be able to predict BWP/beam switching based on the UE location as well as satellite ephemeris, the preferred BWP/beam information can be reported to </w:t>
      </w:r>
      <w:r w:rsidR="001802C8">
        <w:rPr>
          <w:rFonts w:eastAsia="Calibri" w:cs="Arial"/>
          <w:bCs/>
          <w:sz w:val="22"/>
          <w:szCs w:val="22"/>
          <w:lang w:eastAsia="ko-KR"/>
        </w:rPr>
        <w:t>a</w:t>
      </w:r>
      <w:r>
        <w:rPr>
          <w:rFonts w:eastAsia="Calibri" w:cs="Arial"/>
          <w:bCs/>
          <w:sz w:val="22"/>
          <w:szCs w:val="22"/>
          <w:lang w:eastAsia="ko-KR"/>
        </w:rPr>
        <w:t xml:space="preserve"> gNB and the gNB can trigger the BWP/beam switching.</w:t>
      </w:r>
      <w:r w:rsidR="009C4052">
        <w:rPr>
          <w:rFonts w:eastAsia="Calibri" w:cs="Arial"/>
          <w:bCs/>
          <w:sz w:val="22"/>
          <w:szCs w:val="22"/>
          <w:lang w:eastAsia="ko-KR"/>
        </w:rPr>
        <w:t xml:space="preserve"> Note that a set of beam measurement reference signals (e.g., SSB or CSI-RS) could be configured and the reporting of the preferred beam could be interpreted as preferred BWP for the UE.</w:t>
      </w:r>
    </w:p>
    <w:p w14:paraId="4A79DF13" w14:textId="1E045DC7" w:rsidR="009C4052" w:rsidRDefault="009C4052" w:rsidP="00845030">
      <w:pPr>
        <w:spacing w:line="276" w:lineRule="auto"/>
        <w:rPr>
          <w:rFonts w:eastAsia="Calibri" w:cs="Arial"/>
          <w:bCs/>
          <w:sz w:val="22"/>
          <w:szCs w:val="22"/>
          <w:lang w:eastAsia="ko-KR"/>
        </w:rPr>
      </w:pPr>
      <w:r>
        <w:rPr>
          <w:rFonts w:eastAsia="Calibri" w:cs="Arial"/>
          <w:bCs/>
          <w:sz w:val="22"/>
          <w:szCs w:val="22"/>
          <w:lang w:eastAsia="ko-KR"/>
        </w:rPr>
        <w:t xml:space="preserve">Moreover, switching BWP/beam in UE autonomous manner could result in </w:t>
      </w:r>
      <w:r w:rsidR="00977C46">
        <w:rPr>
          <w:rFonts w:eastAsia="Calibri" w:cs="Arial"/>
          <w:bCs/>
          <w:sz w:val="22"/>
          <w:szCs w:val="22"/>
          <w:lang w:eastAsia="ko-KR"/>
        </w:rPr>
        <w:t>synchronization issue between gNB and UE if the gNB doesn’t know exact timing of the BWP/beam switching. To address that issue, a UE may need to report the BWP/beam switching sequence and timing to the gNB which requires significant standards efforts unnecessarily considering that existing beam management framework works perfectly for the scenario.</w:t>
      </w:r>
    </w:p>
    <w:p w14:paraId="288E6A1F" w14:textId="6F4838E2" w:rsidR="00977C46" w:rsidRDefault="00977C46" w:rsidP="00845030">
      <w:pPr>
        <w:spacing w:line="276" w:lineRule="auto"/>
        <w:rPr>
          <w:rFonts w:eastAsia="Calibri" w:cs="Arial"/>
          <w:bCs/>
          <w:sz w:val="22"/>
          <w:szCs w:val="22"/>
          <w:lang w:eastAsia="ko-KR"/>
        </w:rPr>
      </w:pPr>
      <w:r>
        <w:rPr>
          <w:rFonts w:eastAsia="Calibri" w:cs="Arial"/>
          <w:bCs/>
          <w:sz w:val="22"/>
          <w:szCs w:val="22"/>
          <w:lang w:eastAsia="ko-KR"/>
        </w:rPr>
        <w:t>Therefore, no further enhancement seems to be needed for BWP/beam switching even for the case BWP/beam switching is predictable.</w:t>
      </w:r>
    </w:p>
    <w:p w14:paraId="43CAEAE2" w14:textId="439C6E16" w:rsidR="00DC27C8" w:rsidRPr="007C4E5D" w:rsidRDefault="00087E45" w:rsidP="00FF5766">
      <w:pPr>
        <w:spacing w:line="276" w:lineRule="auto"/>
        <w:rPr>
          <w:rFonts w:eastAsia="Calibri" w:cs="Arial"/>
          <w:bCs/>
          <w:i/>
          <w:iCs/>
          <w:sz w:val="22"/>
          <w:szCs w:val="22"/>
        </w:rPr>
      </w:pPr>
      <w:r w:rsidRPr="007C4E5D">
        <w:rPr>
          <w:rFonts w:eastAsia="Calibri" w:cs="Arial"/>
          <w:b/>
          <w:i/>
          <w:iCs/>
          <w:sz w:val="22"/>
          <w:szCs w:val="22"/>
        </w:rPr>
        <w:t xml:space="preserve">Proposal </w:t>
      </w:r>
      <w:r w:rsidR="0025073D">
        <w:rPr>
          <w:rFonts w:eastAsia="Calibri" w:cs="Arial"/>
          <w:b/>
          <w:i/>
          <w:iCs/>
          <w:sz w:val="22"/>
          <w:szCs w:val="22"/>
        </w:rPr>
        <w:t>1</w:t>
      </w:r>
      <w:r w:rsidRPr="007C4E5D">
        <w:rPr>
          <w:rFonts w:eastAsia="Calibri" w:cs="Arial"/>
          <w:b/>
          <w:i/>
          <w:iCs/>
          <w:sz w:val="22"/>
          <w:szCs w:val="22"/>
        </w:rPr>
        <w:t>:</w:t>
      </w:r>
      <w:r w:rsidRPr="007C4E5D">
        <w:rPr>
          <w:rFonts w:eastAsia="Calibri" w:cs="Arial"/>
          <w:bCs/>
          <w:i/>
          <w:iCs/>
          <w:sz w:val="22"/>
          <w:szCs w:val="22"/>
        </w:rPr>
        <w:t xml:space="preserve"> </w:t>
      </w:r>
      <w:r w:rsidR="00977C46">
        <w:rPr>
          <w:rFonts w:eastAsia="Calibri" w:cs="Arial"/>
          <w:bCs/>
          <w:i/>
          <w:iCs/>
          <w:sz w:val="22"/>
          <w:szCs w:val="22"/>
        </w:rPr>
        <w:t xml:space="preserve">UE BWP/beam switching is triggered by gNB </w:t>
      </w:r>
      <w:r w:rsidR="00D56247">
        <w:rPr>
          <w:rFonts w:eastAsia="Calibri" w:cs="Arial"/>
          <w:bCs/>
          <w:i/>
          <w:iCs/>
          <w:sz w:val="22"/>
          <w:szCs w:val="22"/>
        </w:rPr>
        <w:t>(i.e., reuse existing specification)</w:t>
      </w:r>
      <w:r w:rsidR="001A3F2D">
        <w:rPr>
          <w:rFonts w:eastAsia="Calibri" w:cs="Arial"/>
          <w:bCs/>
          <w:i/>
          <w:iCs/>
          <w:sz w:val="22"/>
          <w:szCs w:val="22"/>
        </w:rPr>
        <w:t>.</w:t>
      </w:r>
    </w:p>
    <w:p w14:paraId="78BAB29B" w14:textId="52BFCF48" w:rsidR="00D56247" w:rsidRDefault="006B1ECA" w:rsidP="00FF5766">
      <w:pPr>
        <w:spacing w:line="276" w:lineRule="auto"/>
        <w:rPr>
          <w:rFonts w:eastAsia="Calibri" w:cs="Arial"/>
          <w:bCs/>
          <w:sz w:val="22"/>
          <w:szCs w:val="22"/>
        </w:rPr>
      </w:pPr>
      <w:r>
        <w:rPr>
          <w:rFonts w:eastAsia="Calibri" w:cs="Arial"/>
          <w:bCs/>
          <w:sz w:val="22"/>
          <w:szCs w:val="22"/>
        </w:rPr>
        <w:t>The</w:t>
      </w:r>
      <w:r w:rsidR="00977C46">
        <w:rPr>
          <w:rFonts w:eastAsia="Calibri" w:cs="Arial"/>
          <w:bCs/>
          <w:sz w:val="22"/>
          <w:szCs w:val="22"/>
        </w:rPr>
        <w:t xml:space="preserve"> Issue #7</w:t>
      </w:r>
      <w:r>
        <w:rPr>
          <w:rFonts w:eastAsia="Calibri" w:cs="Arial"/>
          <w:bCs/>
          <w:sz w:val="22"/>
          <w:szCs w:val="22"/>
        </w:rPr>
        <w:t xml:space="preserve"> discusses whether a group common BWP/beam switching indication can be used</w:t>
      </w:r>
      <w:r w:rsidR="00D56247">
        <w:rPr>
          <w:rFonts w:eastAsia="Calibri" w:cs="Arial"/>
          <w:bCs/>
          <w:sz w:val="22"/>
          <w:szCs w:val="22"/>
        </w:rPr>
        <w:t xml:space="preserve"> as a group of UEs may have a similar pattern of BWP/beam switching as they may </w:t>
      </w:r>
      <w:proofErr w:type="gramStart"/>
      <w:r w:rsidR="00D56247">
        <w:rPr>
          <w:rFonts w:eastAsia="Calibri" w:cs="Arial"/>
          <w:bCs/>
          <w:sz w:val="22"/>
          <w:szCs w:val="22"/>
        </w:rPr>
        <w:t>be located in</w:t>
      </w:r>
      <w:proofErr w:type="gramEnd"/>
      <w:r w:rsidR="00D56247">
        <w:rPr>
          <w:rFonts w:eastAsia="Calibri" w:cs="Arial"/>
          <w:bCs/>
          <w:sz w:val="22"/>
          <w:szCs w:val="22"/>
        </w:rPr>
        <w:t xml:space="preserve"> a same region in earth moving cell scenario. However, each UE in the same region still needs to perform BWP/beam switching in a different time based on the UE’s location. With this observation, a group common BWP/beam switching indication seems not working unless each UE and the gNB knows exact switching timing which seems to be complicated and/or require higher specification efforts. Therefore, UE specific BWP/beam switching seems to be enough as similar to the TN</w:t>
      </w:r>
    </w:p>
    <w:p w14:paraId="2A7A1646" w14:textId="7BE6082A" w:rsidR="00324B49" w:rsidRDefault="00324B49" w:rsidP="00324B49">
      <w:pPr>
        <w:spacing w:line="276" w:lineRule="auto"/>
        <w:rPr>
          <w:rFonts w:eastAsia="Calibri" w:cs="Arial"/>
          <w:bCs/>
          <w:i/>
          <w:iCs/>
          <w:sz w:val="22"/>
          <w:szCs w:val="22"/>
        </w:rPr>
      </w:pPr>
      <w:r w:rsidRPr="00E050B1">
        <w:rPr>
          <w:rFonts w:eastAsia="Calibri" w:cs="Arial"/>
          <w:b/>
          <w:i/>
          <w:iCs/>
          <w:sz w:val="22"/>
          <w:szCs w:val="22"/>
        </w:rPr>
        <w:t xml:space="preserve">Proposal </w:t>
      </w:r>
      <w:r w:rsidR="0025073D">
        <w:rPr>
          <w:rFonts w:eastAsia="Calibri" w:cs="Arial"/>
          <w:b/>
          <w:i/>
          <w:iCs/>
          <w:sz w:val="22"/>
          <w:szCs w:val="22"/>
        </w:rPr>
        <w:t>2</w:t>
      </w:r>
      <w:r w:rsidRPr="00E050B1">
        <w:rPr>
          <w:rFonts w:eastAsia="Calibri" w:cs="Arial"/>
          <w:b/>
          <w:i/>
          <w:iCs/>
          <w:sz w:val="22"/>
          <w:szCs w:val="22"/>
        </w:rPr>
        <w:t>:</w:t>
      </w:r>
      <w:r w:rsidRPr="00E050B1">
        <w:rPr>
          <w:rFonts w:eastAsia="Calibri" w:cs="Arial"/>
          <w:bCs/>
          <w:i/>
          <w:iCs/>
          <w:sz w:val="22"/>
          <w:szCs w:val="22"/>
        </w:rPr>
        <w:t xml:space="preserve"> </w:t>
      </w:r>
      <w:r w:rsidR="00827AF6">
        <w:rPr>
          <w:rFonts w:eastAsia="Calibri" w:cs="Arial"/>
          <w:bCs/>
          <w:i/>
          <w:iCs/>
          <w:sz w:val="22"/>
          <w:szCs w:val="22"/>
        </w:rPr>
        <w:t xml:space="preserve"> </w:t>
      </w:r>
      <w:r w:rsidR="00D56247">
        <w:rPr>
          <w:rFonts w:eastAsia="Calibri" w:cs="Arial"/>
          <w:bCs/>
          <w:i/>
          <w:iCs/>
          <w:sz w:val="22"/>
          <w:szCs w:val="22"/>
        </w:rPr>
        <w:t>no group common BWP/beam switching indication is supported for NTN.</w:t>
      </w:r>
    </w:p>
    <w:p w14:paraId="0834E753" w14:textId="2242897D" w:rsidR="00D56247" w:rsidRDefault="00D56247" w:rsidP="00324B49">
      <w:pPr>
        <w:spacing w:line="276" w:lineRule="auto"/>
        <w:rPr>
          <w:rFonts w:eastAsia="Calibri" w:cs="Arial"/>
          <w:bCs/>
          <w:i/>
          <w:iCs/>
          <w:sz w:val="22"/>
          <w:szCs w:val="22"/>
        </w:rPr>
      </w:pPr>
    </w:p>
    <w:p w14:paraId="5FB47614" w14:textId="05626376" w:rsidR="004C42B2" w:rsidRDefault="004C42B2" w:rsidP="004C42B2">
      <w:pPr>
        <w:pStyle w:val="Heading2"/>
      </w:pPr>
      <w:r>
        <w:t>NTN beam measurement</w:t>
      </w:r>
    </w:p>
    <w:p w14:paraId="6DA14A83" w14:textId="2D15EDB8" w:rsidR="004C42B2" w:rsidRDefault="004C42B2" w:rsidP="00324B49">
      <w:pPr>
        <w:spacing w:line="276" w:lineRule="auto"/>
        <w:rPr>
          <w:rFonts w:eastAsia="Calibri" w:cs="Arial"/>
          <w:bCs/>
          <w:sz w:val="22"/>
          <w:szCs w:val="22"/>
        </w:rPr>
      </w:pPr>
      <w:r>
        <w:rPr>
          <w:rFonts w:eastAsia="Calibri" w:cs="Arial"/>
          <w:bCs/>
          <w:sz w:val="22"/>
          <w:szCs w:val="22"/>
        </w:rPr>
        <w:t xml:space="preserve">When frequency reuse factor&gt;1 is used, each BWP may be associated with a beam and located in a different frequency band. </w:t>
      </w:r>
      <w:r w:rsidR="00433DA1">
        <w:rPr>
          <w:rFonts w:eastAsia="Calibri" w:cs="Arial"/>
          <w:bCs/>
          <w:sz w:val="22"/>
          <w:szCs w:val="22"/>
        </w:rPr>
        <w:t>In this case, beam measurement may require BWP switching as a UE only can measure SSB/CSI-RS in an active BWP. The following three alternatives were discussed:</w:t>
      </w:r>
    </w:p>
    <w:p w14:paraId="7CE26212" w14:textId="4019606C" w:rsidR="00433DA1" w:rsidRPr="00433DA1" w:rsidRDefault="00433DA1" w:rsidP="00433DA1">
      <w:pPr>
        <w:pStyle w:val="ListParagraph"/>
        <w:numPr>
          <w:ilvl w:val="0"/>
          <w:numId w:val="26"/>
        </w:numPr>
        <w:rPr>
          <w:rFonts w:ascii="Arial" w:eastAsia="Malgun Gothic" w:hAnsi="Arial" w:cs="Arial"/>
        </w:rPr>
      </w:pPr>
      <w:r w:rsidRPr="00433DA1">
        <w:rPr>
          <w:rFonts w:ascii="Arial" w:eastAsia="Malgun Gothic" w:hAnsi="Arial" w:cs="Arial"/>
        </w:rPr>
        <w:lastRenderedPageBreak/>
        <w:t>Alt-1: support beam measurement on multiple RS associated with different beams within a same active BWP</w:t>
      </w:r>
      <w:r>
        <w:rPr>
          <w:rFonts w:ascii="Arial" w:eastAsia="Malgun Gothic" w:hAnsi="Arial" w:cs="Arial"/>
        </w:rPr>
        <w:t>.</w:t>
      </w:r>
      <w:r w:rsidRPr="00433DA1">
        <w:rPr>
          <w:rFonts w:ascii="Arial" w:eastAsia="Malgun Gothic" w:hAnsi="Arial" w:cs="Arial"/>
        </w:rPr>
        <w:t xml:space="preserve"> </w:t>
      </w:r>
    </w:p>
    <w:p w14:paraId="13D938D0" w14:textId="0CF22245" w:rsidR="00433DA1" w:rsidRPr="00433DA1" w:rsidRDefault="00433DA1" w:rsidP="00433DA1">
      <w:pPr>
        <w:pStyle w:val="ListParagraph"/>
        <w:numPr>
          <w:ilvl w:val="0"/>
          <w:numId w:val="26"/>
        </w:numPr>
        <w:rPr>
          <w:rFonts w:ascii="Arial" w:eastAsia="Malgun Gothic" w:hAnsi="Arial" w:cs="Arial"/>
        </w:rPr>
      </w:pPr>
      <w:r w:rsidRPr="00433DA1">
        <w:rPr>
          <w:rFonts w:ascii="Arial" w:eastAsia="Malgun Gothic" w:hAnsi="Arial" w:cs="Arial"/>
        </w:rPr>
        <w:t>Alt-2: support beam measurement on multiple RS associated with different beams within across BWPs</w:t>
      </w:r>
      <w:r>
        <w:rPr>
          <w:rFonts w:ascii="Arial" w:eastAsia="Malgun Gothic" w:hAnsi="Arial" w:cs="Arial"/>
        </w:rPr>
        <w:t>.</w:t>
      </w:r>
    </w:p>
    <w:p w14:paraId="0F65492D" w14:textId="77777777" w:rsidR="00433DA1" w:rsidRPr="00433DA1" w:rsidRDefault="00433DA1" w:rsidP="00433DA1">
      <w:pPr>
        <w:pStyle w:val="ListParagraph"/>
        <w:numPr>
          <w:ilvl w:val="0"/>
          <w:numId w:val="26"/>
        </w:numPr>
        <w:rPr>
          <w:rFonts w:ascii="Arial" w:eastAsia="Malgun Gothic" w:hAnsi="Arial" w:cs="Arial"/>
        </w:rPr>
      </w:pPr>
      <w:r w:rsidRPr="00433DA1">
        <w:rPr>
          <w:rFonts w:ascii="Arial" w:eastAsia="Malgun Gothic" w:hAnsi="Arial" w:cs="Arial"/>
        </w:rPr>
        <w:t>Alt-3: support both Alt-1 and Alt-2.</w:t>
      </w:r>
    </w:p>
    <w:p w14:paraId="421C7409" w14:textId="589C4679" w:rsidR="00EC198E" w:rsidRDefault="00433DA1" w:rsidP="00324B49">
      <w:pPr>
        <w:spacing w:line="276" w:lineRule="auto"/>
        <w:rPr>
          <w:rFonts w:eastAsia="Calibri" w:cs="Arial"/>
          <w:bCs/>
          <w:sz w:val="22"/>
          <w:szCs w:val="22"/>
        </w:rPr>
      </w:pPr>
      <w:r>
        <w:rPr>
          <w:rFonts w:eastAsia="Calibri" w:cs="Arial"/>
          <w:bCs/>
          <w:sz w:val="22"/>
          <w:szCs w:val="22"/>
        </w:rPr>
        <w:t xml:space="preserve">The Alt-1 seems to be supported by Rel-16 specification already. On the other hand, Alt-2 requires measurement gap introduced when a UE needs to measure RS in inactive BWP. </w:t>
      </w:r>
    </w:p>
    <w:p w14:paraId="5D0C0CCF" w14:textId="574CD7EA" w:rsidR="00EC198E" w:rsidRDefault="00EC198E" w:rsidP="00324B49">
      <w:pPr>
        <w:spacing w:line="276" w:lineRule="auto"/>
        <w:rPr>
          <w:rFonts w:eastAsia="Calibri" w:cs="Arial"/>
          <w:bCs/>
          <w:sz w:val="22"/>
          <w:szCs w:val="22"/>
        </w:rPr>
      </w:pPr>
      <w:r>
        <w:rPr>
          <w:rFonts w:eastAsia="Calibri" w:cs="Arial"/>
          <w:bCs/>
          <w:sz w:val="22"/>
          <w:szCs w:val="22"/>
        </w:rPr>
        <w:t xml:space="preserve">Whether Alt-2 is required additionally is </w:t>
      </w:r>
      <w:r w:rsidR="001802C8">
        <w:rPr>
          <w:rFonts w:eastAsia="Calibri" w:cs="Arial"/>
          <w:bCs/>
          <w:sz w:val="22"/>
          <w:szCs w:val="22"/>
        </w:rPr>
        <w:t>dependent</w:t>
      </w:r>
      <w:r>
        <w:rPr>
          <w:rFonts w:eastAsia="Calibri" w:cs="Arial"/>
          <w:bCs/>
          <w:sz w:val="22"/>
          <w:szCs w:val="22"/>
        </w:rPr>
        <w:t xml:space="preserve"> on the beam layout used in the cell. If the beam layout supported NTN is either the same beam for all BWPs or hierarchical beam layout in which a default BWP supported by all beams exists, Alt-2 doesn’t seem to be needed since a UE may measure beams in the default BWP. For example, a UE may be triggered to switch to the default BWP when beam measurement is needed at the gNB. Although using default BWP for each beam measurement reporting is not as efficient as using inter BWP measurement reporting, it is </w:t>
      </w:r>
      <w:r w:rsidR="001802C8">
        <w:rPr>
          <w:rFonts w:eastAsia="Calibri" w:cs="Arial"/>
          <w:bCs/>
          <w:sz w:val="22"/>
          <w:szCs w:val="22"/>
        </w:rPr>
        <w:t>simpler,</w:t>
      </w:r>
      <w:r>
        <w:rPr>
          <w:rFonts w:eastAsia="Calibri" w:cs="Arial"/>
          <w:bCs/>
          <w:sz w:val="22"/>
          <w:szCs w:val="22"/>
        </w:rPr>
        <w:t xml:space="preserve"> and no additional standards effort is needed.</w:t>
      </w:r>
    </w:p>
    <w:p w14:paraId="72935D05" w14:textId="085DCFC1" w:rsidR="00433DA1" w:rsidRPr="008F34C2" w:rsidRDefault="00EC198E" w:rsidP="00324B49">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w:t>
      </w:r>
      <w:r w:rsidR="008F34C2">
        <w:rPr>
          <w:rFonts w:eastAsia="Calibri" w:cs="Arial"/>
          <w:bCs/>
          <w:i/>
          <w:iCs/>
          <w:sz w:val="22"/>
          <w:szCs w:val="22"/>
        </w:rPr>
        <w:t>beam measurement of multiple RS across BWPs is not needed unless additional beam layout is agreed in Rel-17.</w:t>
      </w:r>
    </w:p>
    <w:p w14:paraId="0B6D7D6F" w14:textId="77777777" w:rsidR="00214E6A" w:rsidRPr="004A1A95" w:rsidRDefault="00214E6A" w:rsidP="00214E6A">
      <w:pPr>
        <w:pStyle w:val="Heading1"/>
      </w:pPr>
      <w:r w:rsidRPr="004A1A95">
        <w:t>Conclusion</w:t>
      </w:r>
    </w:p>
    <w:p w14:paraId="66F0DF76" w14:textId="64665613" w:rsidR="00E013C6" w:rsidRPr="000F21E9" w:rsidRDefault="00214E6A" w:rsidP="00C6277A">
      <w:pPr>
        <w:tabs>
          <w:tab w:val="left" w:pos="0"/>
        </w:tabs>
        <w:rPr>
          <w:sz w:val="22"/>
        </w:rPr>
      </w:pPr>
      <w:r w:rsidRPr="000F21E9">
        <w:rPr>
          <w:sz w:val="22"/>
        </w:rPr>
        <w:t xml:space="preserve">In this contribution the following observations and proposals were made concerning </w:t>
      </w:r>
      <w:r w:rsidR="00827AF6">
        <w:rPr>
          <w:sz w:val="22"/>
        </w:rPr>
        <w:t>beam management</w:t>
      </w:r>
      <w:r w:rsidR="000D1CD0" w:rsidRPr="000F21E9">
        <w:rPr>
          <w:sz w:val="22"/>
        </w:rPr>
        <w:t xml:space="preserve"> in NTN:</w:t>
      </w:r>
    </w:p>
    <w:p w14:paraId="37329E41" w14:textId="3ACA3D6C" w:rsidR="001A3F2D" w:rsidRDefault="001A3F2D" w:rsidP="001A3F2D">
      <w:pPr>
        <w:spacing w:line="276" w:lineRule="auto"/>
        <w:rPr>
          <w:rFonts w:eastAsia="Calibri" w:cs="Arial"/>
          <w:bCs/>
          <w:i/>
          <w:iCs/>
          <w:sz w:val="22"/>
          <w:szCs w:val="22"/>
        </w:rPr>
      </w:pPr>
      <w:r w:rsidRPr="007C4E5D">
        <w:rPr>
          <w:rFonts w:eastAsia="Calibri" w:cs="Arial"/>
          <w:b/>
          <w:i/>
          <w:iCs/>
          <w:sz w:val="22"/>
          <w:szCs w:val="22"/>
        </w:rPr>
        <w:t xml:space="preserve">Proposal </w:t>
      </w:r>
      <w:r>
        <w:rPr>
          <w:rFonts w:eastAsia="Calibri" w:cs="Arial"/>
          <w:b/>
          <w:i/>
          <w:iCs/>
          <w:sz w:val="22"/>
          <w:szCs w:val="22"/>
        </w:rPr>
        <w:t>1</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UE BWP/beam switching is triggered by gNB (i.e., reuse existing specification).</w:t>
      </w:r>
    </w:p>
    <w:p w14:paraId="3B833A14" w14:textId="77777777" w:rsidR="001A3F2D" w:rsidRDefault="001A3F2D" w:rsidP="001A3F2D">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2</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no group common BWP/beam switching indication is supported for NTN.</w:t>
      </w:r>
    </w:p>
    <w:p w14:paraId="7BA31C57" w14:textId="7E4BF900" w:rsidR="001A3F2D" w:rsidRPr="007C4E5D" w:rsidRDefault="001A3F2D" w:rsidP="001A3F2D">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beam measurement of multiple RS across BWPs is not needed unless additional beam layout is agreed in Rel-17.</w:t>
      </w:r>
    </w:p>
    <w:p w14:paraId="377E0382" w14:textId="77777777" w:rsidR="00214E6A" w:rsidRPr="004A1A95" w:rsidRDefault="00214E6A" w:rsidP="00214E6A">
      <w:pPr>
        <w:pStyle w:val="Heading1"/>
      </w:pPr>
      <w:r w:rsidRPr="004A1A95">
        <w:t>References</w:t>
      </w:r>
    </w:p>
    <w:p w14:paraId="2265B772" w14:textId="64A3B5FE" w:rsidR="00697E1B" w:rsidRPr="001802C8" w:rsidRDefault="00E60A1B" w:rsidP="001802C8">
      <w:pPr>
        <w:pStyle w:val="ListParagraph"/>
        <w:numPr>
          <w:ilvl w:val="0"/>
          <w:numId w:val="15"/>
        </w:numPr>
        <w:spacing w:before="120"/>
        <w:jc w:val="both"/>
        <w:rPr>
          <w:rFonts w:ascii="Arial" w:hAnsi="Arial" w:cs="Arial"/>
        </w:rPr>
      </w:pPr>
      <w:bookmarkStart w:id="1" w:name="_Ref521518965"/>
      <w:r w:rsidRPr="008924A3">
        <w:rPr>
          <w:rFonts w:ascii="Arial" w:hAnsi="Arial" w:cs="Arial"/>
        </w:rPr>
        <w:t>RP-</w:t>
      </w:r>
      <w:r w:rsidR="001802C8">
        <w:rPr>
          <w:rFonts w:ascii="Arial" w:hAnsi="Arial" w:cs="Arial"/>
        </w:rPr>
        <w:t>2106336</w:t>
      </w:r>
      <w:r w:rsidRPr="008924A3">
        <w:rPr>
          <w:rFonts w:ascii="Arial" w:hAnsi="Arial" w:cs="Arial"/>
        </w:rPr>
        <w:t>, “</w:t>
      </w:r>
      <w:r w:rsidR="001802C8">
        <w:rPr>
          <w:rFonts w:ascii="Arial" w:hAnsi="Arial" w:cs="Arial"/>
        </w:rPr>
        <w:t>Final Summary of 8.4.4 Other Aspects of NR-NTN</w:t>
      </w:r>
      <w:r w:rsidRPr="008924A3">
        <w:rPr>
          <w:rFonts w:ascii="Arial" w:hAnsi="Arial" w:cs="Arial"/>
        </w:rPr>
        <w:t xml:space="preserve">”, </w:t>
      </w:r>
      <w:bookmarkEnd w:id="1"/>
      <w:r w:rsidR="001802C8">
        <w:rPr>
          <w:rFonts w:ascii="Arial" w:hAnsi="Arial" w:cs="Arial"/>
        </w:rPr>
        <w:t>Moderator (Oppo)</w:t>
      </w:r>
    </w:p>
    <w:sectPr w:rsidR="00697E1B" w:rsidRPr="001802C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8C29" w14:textId="77777777" w:rsidR="00EA2A18" w:rsidRDefault="00EA2A18">
      <w:pPr>
        <w:spacing w:after="0"/>
      </w:pPr>
      <w:r>
        <w:separator/>
      </w:r>
    </w:p>
  </w:endnote>
  <w:endnote w:type="continuationSeparator" w:id="0">
    <w:p w14:paraId="6B7D5B88" w14:textId="77777777" w:rsidR="00EA2A18" w:rsidRDefault="00EA2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0BC0" w14:textId="77777777" w:rsidR="00EA2A18" w:rsidRDefault="00EA2A18">
      <w:pPr>
        <w:spacing w:after="0"/>
      </w:pPr>
      <w:r>
        <w:separator/>
      </w:r>
    </w:p>
  </w:footnote>
  <w:footnote w:type="continuationSeparator" w:id="0">
    <w:p w14:paraId="294EEB11" w14:textId="77777777" w:rsidR="00EA2A18" w:rsidRDefault="00EA2A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26A44"/>
    <w:multiLevelType w:val="hybridMultilevel"/>
    <w:tmpl w:val="FF3A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C03647"/>
    <w:multiLevelType w:val="hybridMultilevel"/>
    <w:tmpl w:val="EA961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2616D"/>
    <w:multiLevelType w:val="hybridMultilevel"/>
    <w:tmpl w:val="DC4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4A4163"/>
    <w:multiLevelType w:val="hybridMultilevel"/>
    <w:tmpl w:val="4CE20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C520A9"/>
    <w:multiLevelType w:val="hybridMultilevel"/>
    <w:tmpl w:val="45FE98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5"/>
  </w:num>
  <w:num w:numId="3">
    <w:abstractNumId w:val="17"/>
  </w:num>
  <w:num w:numId="4">
    <w:abstractNumId w:val="25"/>
  </w:num>
  <w:num w:numId="5">
    <w:abstractNumId w:val="8"/>
  </w:num>
  <w:num w:numId="6">
    <w:abstractNumId w:val="23"/>
  </w:num>
  <w:num w:numId="7">
    <w:abstractNumId w:val="18"/>
  </w:num>
  <w:num w:numId="8">
    <w:abstractNumId w:val="0"/>
  </w:num>
  <w:num w:numId="9">
    <w:abstractNumId w:val="21"/>
  </w:num>
  <w:num w:numId="10">
    <w:abstractNumId w:val="22"/>
  </w:num>
  <w:num w:numId="11">
    <w:abstractNumId w:val="14"/>
  </w:num>
  <w:num w:numId="12">
    <w:abstractNumId w:val="6"/>
  </w:num>
  <w:num w:numId="13">
    <w:abstractNumId w:val="10"/>
  </w:num>
  <w:num w:numId="14">
    <w:abstractNumId w:val="4"/>
  </w:num>
  <w:num w:numId="15">
    <w:abstractNumId w:val="11"/>
  </w:num>
  <w:num w:numId="16">
    <w:abstractNumId w:val="16"/>
  </w:num>
  <w:num w:numId="17">
    <w:abstractNumId w:val="3"/>
  </w:num>
  <w:num w:numId="18">
    <w:abstractNumId w:val="12"/>
  </w:num>
  <w:num w:numId="19">
    <w:abstractNumId w:val="20"/>
  </w:num>
  <w:num w:numId="20">
    <w:abstractNumId w:val="13"/>
  </w:num>
  <w:num w:numId="21">
    <w:abstractNumId w:val="19"/>
  </w:num>
  <w:num w:numId="22">
    <w:abstractNumId w:val="2"/>
  </w:num>
  <w:num w:numId="23">
    <w:abstractNumId w:val="24"/>
  </w:num>
  <w:num w:numId="24">
    <w:abstractNumId w:val="7"/>
  </w:num>
  <w:num w:numId="25">
    <w:abstractNumId w:val="5"/>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3648"/>
    <w:rsid w:val="000600DC"/>
    <w:rsid w:val="00061F39"/>
    <w:rsid w:val="00064052"/>
    <w:rsid w:val="000674C7"/>
    <w:rsid w:val="0008793C"/>
    <w:rsid w:val="00087E45"/>
    <w:rsid w:val="00090FD9"/>
    <w:rsid w:val="00091494"/>
    <w:rsid w:val="000B3CE8"/>
    <w:rsid w:val="000B3F22"/>
    <w:rsid w:val="000B6BB1"/>
    <w:rsid w:val="000C18C9"/>
    <w:rsid w:val="000D1CD0"/>
    <w:rsid w:val="000F21E9"/>
    <w:rsid w:val="00142DE2"/>
    <w:rsid w:val="00143787"/>
    <w:rsid w:val="00166C9B"/>
    <w:rsid w:val="001802C8"/>
    <w:rsid w:val="001965BA"/>
    <w:rsid w:val="001A3F2D"/>
    <w:rsid w:val="001B4722"/>
    <w:rsid w:val="001C59D8"/>
    <w:rsid w:val="00214E6A"/>
    <w:rsid w:val="00225F54"/>
    <w:rsid w:val="002471D9"/>
    <w:rsid w:val="0024763F"/>
    <w:rsid w:val="0025073D"/>
    <w:rsid w:val="002676F9"/>
    <w:rsid w:val="00281912"/>
    <w:rsid w:val="00283DB7"/>
    <w:rsid w:val="002A067C"/>
    <w:rsid w:val="002B026A"/>
    <w:rsid w:val="002C4C84"/>
    <w:rsid w:val="002C7497"/>
    <w:rsid w:val="002D3C8A"/>
    <w:rsid w:val="002F165E"/>
    <w:rsid w:val="002F3704"/>
    <w:rsid w:val="002F7E3F"/>
    <w:rsid w:val="00303C9C"/>
    <w:rsid w:val="003070E8"/>
    <w:rsid w:val="003240E9"/>
    <w:rsid w:val="00324B49"/>
    <w:rsid w:val="00330B3E"/>
    <w:rsid w:val="00335629"/>
    <w:rsid w:val="003456EF"/>
    <w:rsid w:val="00347F72"/>
    <w:rsid w:val="00383D4F"/>
    <w:rsid w:val="0039750E"/>
    <w:rsid w:val="003A2C98"/>
    <w:rsid w:val="003C1923"/>
    <w:rsid w:val="003D2B16"/>
    <w:rsid w:val="004040A2"/>
    <w:rsid w:val="00404C76"/>
    <w:rsid w:val="00433DA1"/>
    <w:rsid w:val="00435BAC"/>
    <w:rsid w:val="00440C2E"/>
    <w:rsid w:val="004504CB"/>
    <w:rsid w:val="00451891"/>
    <w:rsid w:val="00461D37"/>
    <w:rsid w:val="004738A5"/>
    <w:rsid w:val="004C42B2"/>
    <w:rsid w:val="004E08DF"/>
    <w:rsid w:val="004E32A3"/>
    <w:rsid w:val="00511D70"/>
    <w:rsid w:val="00526FD1"/>
    <w:rsid w:val="00534B3E"/>
    <w:rsid w:val="005546C1"/>
    <w:rsid w:val="005722BA"/>
    <w:rsid w:val="00572EDB"/>
    <w:rsid w:val="005817E8"/>
    <w:rsid w:val="0058637E"/>
    <w:rsid w:val="005C1BAB"/>
    <w:rsid w:val="005F2F59"/>
    <w:rsid w:val="005F4760"/>
    <w:rsid w:val="0061085E"/>
    <w:rsid w:val="00626355"/>
    <w:rsid w:val="006319F9"/>
    <w:rsid w:val="0063295F"/>
    <w:rsid w:val="00642F4B"/>
    <w:rsid w:val="00695E9D"/>
    <w:rsid w:val="00697E1B"/>
    <w:rsid w:val="006A0172"/>
    <w:rsid w:val="006B1ECA"/>
    <w:rsid w:val="006F02C5"/>
    <w:rsid w:val="0070274C"/>
    <w:rsid w:val="0070783F"/>
    <w:rsid w:val="00710564"/>
    <w:rsid w:val="00721025"/>
    <w:rsid w:val="00774669"/>
    <w:rsid w:val="00782864"/>
    <w:rsid w:val="00791C04"/>
    <w:rsid w:val="007B4EAD"/>
    <w:rsid w:val="007C0E22"/>
    <w:rsid w:val="007C4E5D"/>
    <w:rsid w:val="007F08C6"/>
    <w:rsid w:val="007F30FF"/>
    <w:rsid w:val="008167F5"/>
    <w:rsid w:val="008237B8"/>
    <w:rsid w:val="00827AF6"/>
    <w:rsid w:val="0083388D"/>
    <w:rsid w:val="00835768"/>
    <w:rsid w:val="00845030"/>
    <w:rsid w:val="00880025"/>
    <w:rsid w:val="00894412"/>
    <w:rsid w:val="008955AA"/>
    <w:rsid w:val="008C0C61"/>
    <w:rsid w:val="008F34C2"/>
    <w:rsid w:val="008F5A4A"/>
    <w:rsid w:val="009303A9"/>
    <w:rsid w:val="009339C3"/>
    <w:rsid w:val="00960733"/>
    <w:rsid w:val="00977C46"/>
    <w:rsid w:val="009C4052"/>
    <w:rsid w:val="009F6550"/>
    <w:rsid w:val="00A0529A"/>
    <w:rsid w:val="00A24FC0"/>
    <w:rsid w:val="00A56D4B"/>
    <w:rsid w:val="00A725F4"/>
    <w:rsid w:val="00A95BF6"/>
    <w:rsid w:val="00AB5C41"/>
    <w:rsid w:val="00AB5FC1"/>
    <w:rsid w:val="00AC0FB7"/>
    <w:rsid w:val="00AC1B18"/>
    <w:rsid w:val="00AC211F"/>
    <w:rsid w:val="00AC76A8"/>
    <w:rsid w:val="00AD7E3B"/>
    <w:rsid w:val="00AF2AFB"/>
    <w:rsid w:val="00B00581"/>
    <w:rsid w:val="00B03C97"/>
    <w:rsid w:val="00B414B8"/>
    <w:rsid w:val="00B642AA"/>
    <w:rsid w:val="00B652F5"/>
    <w:rsid w:val="00B854AD"/>
    <w:rsid w:val="00BD1ADF"/>
    <w:rsid w:val="00BD435D"/>
    <w:rsid w:val="00BE3ABB"/>
    <w:rsid w:val="00BE5E9F"/>
    <w:rsid w:val="00BE6342"/>
    <w:rsid w:val="00C5021B"/>
    <w:rsid w:val="00C53F50"/>
    <w:rsid w:val="00C6277A"/>
    <w:rsid w:val="00CA5205"/>
    <w:rsid w:val="00CB738A"/>
    <w:rsid w:val="00CD05AE"/>
    <w:rsid w:val="00CD1545"/>
    <w:rsid w:val="00CD556B"/>
    <w:rsid w:val="00D52628"/>
    <w:rsid w:val="00D56247"/>
    <w:rsid w:val="00D62C03"/>
    <w:rsid w:val="00D737D6"/>
    <w:rsid w:val="00D91E82"/>
    <w:rsid w:val="00DA1030"/>
    <w:rsid w:val="00DB5942"/>
    <w:rsid w:val="00DC27C8"/>
    <w:rsid w:val="00DC53C9"/>
    <w:rsid w:val="00E013C6"/>
    <w:rsid w:val="00E20F98"/>
    <w:rsid w:val="00E225AC"/>
    <w:rsid w:val="00E30291"/>
    <w:rsid w:val="00E32783"/>
    <w:rsid w:val="00E34132"/>
    <w:rsid w:val="00E36AD3"/>
    <w:rsid w:val="00E50B7C"/>
    <w:rsid w:val="00E5386D"/>
    <w:rsid w:val="00E60A1B"/>
    <w:rsid w:val="00E633F1"/>
    <w:rsid w:val="00E74749"/>
    <w:rsid w:val="00EA2A18"/>
    <w:rsid w:val="00EB5786"/>
    <w:rsid w:val="00EB6B0E"/>
    <w:rsid w:val="00EC198E"/>
    <w:rsid w:val="00EC61DF"/>
    <w:rsid w:val="00ED3E53"/>
    <w:rsid w:val="00ED5307"/>
    <w:rsid w:val="00EF6B55"/>
    <w:rsid w:val="00F00A92"/>
    <w:rsid w:val="00FA29D0"/>
    <w:rsid w:val="00FD7468"/>
    <w:rsid w:val="00FE04E4"/>
    <w:rsid w:val="00FF5766"/>
    <w:rsid w:val="354CD241"/>
    <w:rsid w:val="76DC3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D91E8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91E82"/>
    <w:rPr>
      <w:rFonts w:ascii="Times New Roman" w:eastAsia="Times New Roman" w:hAnsi="Times New Roman" w:cs="Times New Roman"/>
      <w:sz w:val="18"/>
      <w:szCs w:val="18"/>
      <w:lang w:val="en-GB" w:eastAsia="zh-CN"/>
    </w:rPr>
  </w:style>
  <w:style w:type="character" w:styleId="CommentReference">
    <w:name w:val="annotation reference"/>
    <w:basedOn w:val="DefaultParagraphFont"/>
    <w:uiPriority w:val="99"/>
    <w:semiHidden/>
    <w:unhideWhenUsed/>
    <w:rsid w:val="00EF6B55"/>
    <w:rPr>
      <w:sz w:val="16"/>
      <w:szCs w:val="16"/>
    </w:rPr>
  </w:style>
  <w:style w:type="paragraph" w:styleId="CommentText">
    <w:name w:val="annotation text"/>
    <w:basedOn w:val="Normal"/>
    <w:link w:val="CommentTextChar"/>
    <w:uiPriority w:val="99"/>
    <w:unhideWhenUsed/>
    <w:rsid w:val="00EF6B55"/>
  </w:style>
  <w:style w:type="character" w:customStyle="1" w:styleId="CommentTextChar">
    <w:name w:val="Comment Text Char"/>
    <w:basedOn w:val="DefaultParagraphFont"/>
    <w:link w:val="CommentText"/>
    <w:uiPriority w:val="99"/>
    <w:rsid w:val="00EF6B5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F6B55"/>
    <w:rPr>
      <w:b/>
      <w:bCs/>
    </w:rPr>
  </w:style>
  <w:style w:type="character" w:customStyle="1" w:styleId="CommentSubjectChar">
    <w:name w:val="Comment Subject Char"/>
    <w:basedOn w:val="CommentTextChar"/>
    <w:link w:val="CommentSubject"/>
    <w:uiPriority w:val="99"/>
    <w:semiHidden/>
    <w:rsid w:val="00EF6B55"/>
    <w:rPr>
      <w:rFonts w:ascii="Arial" w:eastAsia="Times New Roman" w:hAnsi="Arial" w:cs="Times New Roman"/>
      <w:b/>
      <w:bCs/>
      <w:sz w:val="20"/>
      <w:szCs w:val="20"/>
      <w:lang w:val="en-GB" w:eastAsia="zh-CN"/>
    </w:rPr>
  </w:style>
  <w:style w:type="paragraph" w:styleId="Revision">
    <w:name w:val="Revision"/>
    <w:hidden/>
    <w:uiPriority w:val="99"/>
    <w:semiHidden/>
    <w:rsid w:val="00880025"/>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77E761-7190-48C1-9170-A29FC39F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5</cp:revision>
  <dcterms:created xsi:type="dcterms:W3CDTF">2021-08-04T22:25:00Z</dcterms:created>
  <dcterms:modified xsi:type="dcterms:W3CDTF">2021-08-06T21:54:00Z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